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0001223929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CREVISTON STEVEN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4810</w:t>
            </w:r>
          </w:p>
        </w:tc>
        <w:tc>
          <w:tcPr>
            <w:tcW w:w="1377" w:type="dxa"/>
            <w:tcBorders/>
            <w:vAlign w:val="center"/>
          </w:tcPr>
          <w:p>
            <w:pPr>
              <w:pStyle w:val="TableContents"/>
              <w:bidi w:val="0"/>
              <w:spacing w:before="0" w:after="283"/>
              <w:jc w:val="left"/>
              <w:rPr/>
            </w:pPr>
            <w:r>
              <w:rPr/>
              <w:t>485167.10</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4810</w:t>
            </w:r>
          </w:p>
        </w:tc>
        <w:tc>
          <w:tcPr>
            <w:tcW w:w="1046" w:type="dxa"/>
            <w:tcBorders/>
            <w:vAlign w:val="center"/>
          </w:tcPr>
          <w:p>
            <w:pPr>
              <w:pStyle w:val="TableContents"/>
              <w:bidi w:val="0"/>
              <w:spacing w:before="0" w:after="283"/>
              <w:jc w:val="left"/>
              <w:rPr/>
            </w:pPr>
            <w:r>
              <w:rPr/>
              <w:t>05/14/2024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09/02/2026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Daniel Tucci, as a duly authorized representative of Fidelity Brokerage Services LLC, as attorney-in-fact for Steven Creviston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3053</Characters>
  <CharactersWithSpaces>3596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