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345" w:before="220" w:after="283"/>
        <w:jc w:val="center"/>
        <w:rPr>
          <w:rFonts w:ascii="Times New Roman;serif" w:hAnsi="Times New Roman;serif"/>
          <w:b/>
          <w:color w:val="000000"/>
          <w:sz w:val="22"/>
        </w:rPr>
      </w:pPr>
      <w:r>
        <w:rPr>
          <w:rFonts w:ascii="Times New Roman;serif" w:hAnsi="Times New Roman;serif"/>
          <w:b/>
          <w:color w:val="000000"/>
          <w:sz w:val="22"/>
        </w:rPr>
        <w:t xml:space="preserve">FORM 8-K </w:t>
      </w:r>
    </w:p>
    <w:p>
      <w:pPr>
        <w:pStyle w:val="TextBody"/>
        <w:bidi w:val="0"/>
        <w:spacing w:lineRule="auto" w:line="345" w:before="22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20" w:after="283"/>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July 28, 2026</w:t>
      </w:r>
    </w:p>
    <w:p>
      <w:pPr>
        <w:pStyle w:val="TextBody"/>
        <w:bidi w:val="0"/>
        <w:spacing w:before="0" w:after="0"/>
        <w:jc w:val="center"/>
        <w:rPr/>
      </w:pPr>
      <w:r>
        <w:rPr/>
      </w:r>
    </w:p>
    <w:p>
      <w:pPr>
        <w:pStyle w:val="TextBody"/>
        <w:bidi w:val="0"/>
        <w:spacing w:before="0" w:after="0"/>
        <w:jc w:val="center"/>
        <w:rPr/>
      </w:pPr>
      <w:r>
        <w:rPr/>
        <w:drawing>
          <wp:inline distT="0" distB="0" distL="0" distR="0">
            <wp:extent cx="19621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581025"/>
                    </a:xfrm>
                    <a:prstGeom prst="rect">
                      <a:avLst/>
                    </a:prstGeom>
                  </pic:spPr>
                </pic:pic>
              </a:graphicData>
            </a:graphic>
          </wp:inline>
        </w:drawing>
      </w:r>
      <w:bookmarkStart w:id="0" w:name="i-1"/>
      <w:bookmarkEnd w:id="0"/>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 xml:space="preserve">Qorvo, Inc. </w:t>
      </w:r>
    </w:p>
    <w:p>
      <w:pPr>
        <w:pStyle w:val="TextBody"/>
        <w:bidi w:val="0"/>
        <w:spacing w:lineRule="auto" w:line="345"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510"/>
        <w:gridCol w:w="1324"/>
        <w:gridCol w:w="1340"/>
        <w:gridCol w:w="429"/>
        <w:gridCol w:w="429"/>
        <w:gridCol w:w="429"/>
        <w:gridCol w:w="429"/>
        <w:gridCol w:w="429"/>
        <w:gridCol w:w="454"/>
        <w:gridCol w:w="1001"/>
        <w:gridCol w:w="1001"/>
        <w:gridCol w:w="1430"/>
      </w:tblGrid>
      <w:tr>
        <w:trPr/>
        <w:tc>
          <w:tcPr>
            <w:tcW w:w="151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2"/>
              </w:rPr>
            </w:pPr>
            <w:r>
              <w:rPr>
                <w:rFonts w:ascii="Times New Roman;serif" w:hAnsi="Times New Roman;serif"/>
                <w:b/>
                <w:color w:val="000000"/>
                <w:sz w:val="22"/>
              </w:rPr>
              <w:t>Delaware</w:t>
            </w:r>
          </w:p>
        </w:tc>
        <w:tc>
          <w:tcPr>
            <w:tcW w:w="2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001-36801</w:t>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46-5288992</w:t>
            </w:r>
          </w:p>
        </w:tc>
      </w:tr>
      <w:tr>
        <w:trPr/>
        <w:tc>
          <w:tcPr>
            <w:tcW w:w="41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 of Incorporation)</w:t>
            </w:r>
          </w:p>
        </w:tc>
        <w:tc>
          <w:tcPr>
            <w:tcW w:w="2599"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2"/>
              </w:rPr>
            </w:pPr>
            <w:r>
              <w:rPr>
                <w:rFonts w:ascii="Times New Roman;serif" w:hAnsi="Times New Roman;serif"/>
                <w:b w:val="false"/>
                <w:color w:val="000000"/>
                <w:sz w:val="22"/>
              </w:rPr>
              <w:t>(I.R.S. Employer Identification No.)</w:t>
            </w:r>
          </w:p>
        </w:tc>
      </w:tr>
    </w:tbl>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 xml:space="preserve">7628 Thorndike Road, Greensboro, North Carolina 27409-9421 </w:t>
      </w:r>
    </w:p>
    <w:p>
      <w:pPr>
        <w:pStyle w:val="TextBody"/>
        <w:bidi w:val="0"/>
        <w:spacing w:lineRule="auto" w:line="345" w:before="0" w:after="0"/>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p>
      <w:pPr>
        <w:pStyle w:val="TextBody"/>
        <w:bidi w:val="0"/>
        <w:spacing w:lineRule="auto" w:line="345" w:before="0" w:after="0"/>
        <w:jc w:val="center"/>
        <w:rPr>
          <w:rFonts w:ascii="Times New Roman;serif" w:hAnsi="Times New Roman;serif"/>
          <w:b w:val="false"/>
          <w:color w:val="000000"/>
          <w:sz w:val="22"/>
        </w:rPr>
      </w:pPr>
      <w:r>
        <w:rPr>
          <w:rFonts w:ascii="Times New Roman;serif" w:hAnsi="Times New Roman;serif"/>
          <w:b w:val="false"/>
          <w:color w:val="000000"/>
          <w:sz w:val="22"/>
        </w:rPr>
        <w:t>(Zip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 xml:space="preserve">(336) 664-1233 </w:t>
      </w:r>
    </w:p>
    <w:p>
      <w:pPr>
        <w:pStyle w:val="TextBody"/>
        <w:bidi w:val="0"/>
        <w:spacing w:lineRule="auto" w:line="264" w:before="0" w:after="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2"/>
        </w:rPr>
        <w:t>Soliciting material pursuant to Rule 14a-12 under the Exchange Act (17 CFR 240.14a-12)</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2"/>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1212"/>
        <w:gridCol w:w="1051"/>
        <w:gridCol w:w="1064"/>
        <w:gridCol w:w="109"/>
        <w:gridCol w:w="109"/>
        <w:gridCol w:w="109"/>
        <w:gridCol w:w="628"/>
        <w:gridCol w:w="628"/>
        <w:gridCol w:w="630"/>
        <w:gridCol w:w="109"/>
        <w:gridCol w:w="109"/>
        <w:gridCol w:w="109"/>
        <w:gridCol w:w="1268"/>
        <w:gridCol w:w="1268"/>
        <w:gridCol w:w="1802"/>
      </w:tblGrid>
      <w:tr>
        <w:trPr/>
        <w:tc>
          <w:tcPr>
            <w:tcW w:w="121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Name of each exchange on which registered</w:t>
            </w:r>
          </w:p>
        </w:tc>
      </w:tr>
      <w:tr>
        <w:trPr/>
        <w:tc>
          <w:tcPr>
            <w:tcW w:w="3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QRVO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2"/>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2"/>
        </w:rPr>
        <w: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July 28, 2026, Qorvo, Inc. issued a press release announcing financial results for its fiscal 2027 first quarter ended June 27, 2026. A copy of this press release is furnished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03"/>
        <w:gridCol w:w="178"/>
        <w:gridCol w:w="178"/>
        <w:gridCol w:w="194"/>
        <w:gridCol w:w="194"/>
        <w:gridCol w:w="185"/>
        <w:gridCol w:w="2652"/>
        <w:gridCol w:w="2652"/>
        <w:gridCol w:w="3769"/>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11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No.</w:t>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release20260627.htm">
              <w:r>
                <w:rPr>
                  <w:rStyle w:val="InternetLink"/>
                  <w:rFonts w:ascii="Times New Roman;serif" w:hAnsi="Times New Roman;serif"/>
                  <w:b w:val="false"/>
                  <w:color w:val="000080"/>
                  <w:sz w:val="22"/>
                  <w:u w:val="single"/>
                </w:rPr>
                <w:t xml:space="preserve">Press release, dated </w:t>
              </w:r>
            </w:hyperlink>
            <w:hyperlink w:anchor="earningsrelease20260627.htm">
              <w:r>
                <w:rPr>
                  <w:rStyle w:val="InternetLink"/>
                  <w:rFonts w:ascii="Times New Roman;serif" w:hAnsi="Times New Roman;serif"/>
                  <w:b w:val="false"/>
                  <w:color w:val="000080"/>
                  <w:sz w:val="22"/>
                  <w:u w:val="single"/>
                </w:rPr>
                <w:t>July</w:t>
              </w:r>
            </w:hyperlink>
            <w:hyperlink w:anchor="earningsrelease20260627.htm">
              <w:r>
                <w:rPr>
                  <w:rStyle w:val="InternetLink"/>
                  <w:rFonts w:ascii="Times New Roman;serif" w:hAnsi="Times New Roman;serif"/>
                  <w:b w:val="false"/>
                  <w:color w:val="000080"/>
                  <w:sz w:val="22"/>
                  <w:u w:val="single"/>
                </w:rPr>
                <w:t xml:space="preserve"> </w:t>
              </w:r>
            </w:hyperlink>
            <w:hyperlink w:anchor="earningsrelease20260627.htm">
              <w:r>
                <w:rPr>
                  <w:rStyle w:val="InternetLink"/>
                  <w:rFonts w:ascii="Times New Roman;serif" w:hAnsi="Times New Roman;serif"/>
                  <w:b w:val="false"/>
                  <w:color w:val="000080"/>
                  <w:sz w:val="22"/>
                  <w:u w:val="single"/>
                </w:rPr>
                <w:t>28</w:t>
              </w:r>
            </w:hyperlink>
            <w:hyperlink w:anchor="earningsrelease20260627.htm">
              <w:r>
                <w:rPr>
                  <w:rStyle w:val="InternetLink"/>
                  <w:rFonts w:ascii="Times New Roman;serif" w:hAnsi="Times New Roman;serif"/>
                  <w:b w:val="false"/>
                  <w:color w:val="000080"/>
                  <w:sz w:val="22"/>
                  <w:u w:val="single"/>
                </w:rPr>
                <w:t>, 2026, announcing financial results for Qorvo's fiscal 202</w:t>
              </w:r>
            </w:hyperlink>
            <w:hyperlink w:anchor="earningsrelease20260627.htm">
              <w:r>
                <w:rPr>
                  <w:rStyle w:val="InternetLink"/>
                  <w:rFonts w:ascii="Times New Roman;serif" w:hAnsi="Times New Roman;serif"/>
                  <w:b w:val="false"/>
                  <w:color w:val="000080"/>
                  <w:sz w:val="22"/>
                  <w:u w:val="single"/>
                </w:rPr>
                <w:t>7</w:t>
              </w:r>
            </w:hyperlink>
            <w:hyperlink w:anchor="earningsrelease20260627.htm">
              <w:r>
                <w:rPr>
                  <w:rStyle w:val="InternetLink"/>
                  <w:rFonts w:ascii="Times New Roman;serif" w:hAnsi="Times New Roman;serif"/>
                  <w:b w:val="false"/>
                  <w:color w:val="000080"/>
                  <w:sz w:val="22"/>
                  <w:u w:val="single"/>
                </w:rPr>
                <w:t xml:space="preserve"> f</w:t>
              </w:r>
            </w:hyperlink>
            <w:hyperlink w:anchor="earningsrelease20260627.htm">
              <w:r>
                <w:rPr>
                  <w:rStyle w:val="InternetLink"/>
                  <w:rFonts w:ascii="Times New Roman;serif" w:hAnsi="Times New Roman;serif"/>
                  <w:b w:val="false"/>
                  <w:color w:val="000080"/>
                  <w:sz w:val="22"/>
                  <w:u w:val="single"/>
                </w:rPr>
                <w:t>irst</w:t>
              </w:r>
            </w:hyperlink>
            <w:hyperlink w:anchor="earningsrelease20260627.htm">
              <w:r>
                <w:rPr>
                  <w:rStyle w:val="InternetLink"/>
                  <w:rFonts w:ascii="Times New Roman;serif" w:hAnsi="Times New Roman;serif"/>
                  <w:b w:val="false"/>
                  <w:color w:val="000080"/>
                  <w:sz w:val="22"/>
                  <w:u w:val="single"/>
                </w:rPr>
                <w:t xml:space="preserve"> quarter ended </w:t>
              </w:r>
            </w:hyperlink>
            <w:hyperlink w:anchor="earningsrelease20260627.htm">
              <w:r>
                <w:rPr>
                  <w:rStyle w:val="InternetLink"/>
                  <w:rFonts w:ascii="Times New Roman;serif" w:hAnsi="Times New Roman;serif"/>
                  <w:b w:val="false"/>
                  <w:color w:val="000080"/>
                  <w:sz w:val="22"/>
                  <w:u w:val="single"/>
                </w:rPr>
                <w:t>June</w:t>
              </w:r>
            </w:hyperlink>
            <w:hyperlink w:anchor="earningsrelease20260627.htm">
              <w:r>
                <w:rPr>
                  <w:rStyle w:val="InternetLink"/>
                  <w:rFonts w:ascii="Times New Roman;serif" w:hAnsi="Times New Roman;serif"/>
                  <w:b w:val="false"/>
                  <w:color w:val="000080"/>
                  <w:sz w:val="22"/>
                  <w:u w:val="single"/>
                </w:rPr>
                <w:t xml:space="preserve"> 2</w:t>
              </w:r>
            </w:hyperlink>
            <w:hyperlink w:anchor="earningsrelease20260627.htm">
              <w:r>
                <w:rPr>
                  <w:rStyle w:val="InternetLink"/>
                  <w:rFonts w:ascii="Times New Roman;serif" w:hAnsi="Times New Roman;serif"/>
                  <w:b w:val="false"/>
                  <w:color w:val="000080"/>
                  <w:sz w:val="22"/>
                  <w:u w:val="single"/>
                </w:rPr>
                <w:t>7</w:t>
              </w:r>
            </w:hyperlink>
            <w:hyperlink w:anchor="earningsrelease20260627.htm">
              <w:r>
                <w:rPr>
                  <w:rStyle w:val="InternetLink"/>
                  <w:rFonts w:ascii="Times New Roman;serif" w:hAnsi="Times New Roman;serif"/>
                  <w:b w:val="false"/>
                  <w:color w:val="000080"/>
                  <w:sz w:val="22"/>
                  <w:u w:val="single"/>
                </w:rPr>
                <w:t>, 2026</w:t>
              </w:r>
            </w:hyperlink>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4320"/>
        <w:jc w:val="both"/>
        <w:rPr/>
      </w:pPr>
      <w:r>
        <w:rPr/>
      </w:r>
    </w:p>
    <w:tbl>
      <w:tblPr>
        <w:tblW w:w="5738" w:type="dxa"/>
        <w:jc w:val="center"/>
        <w:tblInd w:w="0" w:type="dxa"/>
        <w:tblLayout w:type="fixed"/>
        <w:tblCellMar>
          <w:top w:w="28" w:type="dxa"/>
          <w:left w:w="28" w:type="dxa"/>
          <w:bottom w:w="28" w:type="dxa"/>
          <w:right w:w="28" w:type="dxa"/>
        </w:tblCellMar>
      </w:tblPr>
      <w:tblGrid>
        <w:gridCol w:w="124"/>
        <w:gridCol w:w="109"/>
        <w:gridCol w:w="109"/>
        <w:gridCol w:w="209"/>
        <w:gridCol w:w="209"/>
        <w:gridCol w:w="209"/>
        <w:gridCol w:w="1379"/>
        <w:gridCol w:w="1379"/>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2"/>
              </w:rPr>
              <w:t>Qorvo,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By:</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July 28,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4610100" cy="952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4610100" cy="952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32"/>
        </w:rPr>
        <w:t>Qorvo</w:t>
      </w:r>
      <w:r>
        <w:rPr>
          <w:rFonts w:ascii="Times New Roman;serif" w:hAnsi="Times New Roman;serif"/>
          <w:b w:val="false"/>
          <w:color w:val="000000"/>
          <w:sz w:val="21"/>
        </w:rPr>
        <w:t>®</w:t>
      </w:r>
      <w:r>
        <w:rPr>
          <w:color w:val="000000"/>
        </w:rPr>
        <w:t xml:space="preserve"> </w:t>
      </w:r>
      <w:r>
        <w:rPr>
          <w:rFonts w:ascii="Times New Roman;serif" w:hAnsi="Times New Roman;serif"/>
          <w:b/>
          <w:color w:val="000000"/>
          <w:sz w:val="32"/>
        </w:rPr>
        <w:t>Announces Fiscal 2027 First Quarter Financial Results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2"/>
        </w:rPr>
        <w:t xml:space="preserve">GREENSBORO, N.C. </w:t>
      </w:r>
      <w:r>
        <w:rPr>
          <w:color w:val="000000"/>
        </w:rPr>
        <w:t xml:space="preserve">— </w:t>
      </w:r>
      <w:r>
        <w:rPr>
          <w:rFonts w:ascii="Times New Roman;serif" w:hAnsi="Times New Roman;serif"/>
          <w:b/>
          <w:color w:val="000000"/>
          <w:sz w:val="22"/>
        </w:rPr>
        <w:t>July 28, 2026</w:t>
      </w:r>
      <w:r>
        <w:rPr>
          <w:color w:val="000000"/>
        </w:rPr>
        <w:t xml:space="preserve"> — </w:t>
      </w:r>
      <w:r>
        <w:rPr>
          <w:rFonts w:ascii="Times New Roman;serif" w:hAnsi="Times New Roman;serif"/>
          <w:b w:val="false"/>
          <w:color w:val="000000"/>
          <w:sz w:val="22"/>
        </w:rPr>
        <w:t>Qorvo</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(Nasdaq:QRVO), a leading global provider of connectivity and power solutions, today announced financial results for the Company’s fiscal 2027 first quarter ended June 27,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 GAAP basis, revenue for Qorvo’s fiscal 2027 first quarter was $784.8 million, gross margin was 51.1%, operating income was $96.8 million, and diluted earnings per share was $0.96. On a non-GAAP basis, gross margin was 52.8%, operating income was $177.6 million, and diluted earnings per share was $1.64.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Bob Bruggeworth, president and chief executive officer of Qorvo, said, "The Qorvo team delivered strong June quarterly financial results, supported by double-digit year-over-year revenue growth in D&amp;A, infrastructure, and power, coupled with our successful pivot in ACG to higher value placements. For full-year fiscal 2027, we continue to expect non-GAAP gross margin above 50% and now expect non-GAAP diluted earnings per share above $7.00."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Financial Commentary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 Brown, chief financial officer of Qorvo, said, "Qorvo is improving business mix within and across operating segments, reducing capital intensity, and structurally enhancing profitability. Compared to the prior-year June quarter, non-GAAP gross margin expanded 880 basis points to 52.8% and non-GAAP EPS increased 78% to $1.64. We expect continued strong financial performance throughout fiscal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Given Qorvo's pending transaction with Skyworks, Qorvo has discontinued conducting conference calls and providing forward-looking guidance. Qorvo's fiscal 2027 is a 53-week year, and its fiscal second quarter, ending Saturday, October 3, 2026, will include 14 weeks.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See "Forward-looking non-GAAP financial measures" below. Qorvo's actual results may differ from these expectations and projections, and such differences may be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Selected Financial Information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The following tables set forth selected GAAP and non-GAAP financial information for Qorvo for the periods indicated. See the more detailed financial information for Qorvo, including reconciliations of GAAP and non-GAAP financial information, attached.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66"/>
        <w:gridCol w:w="761"/>
        <w:gridCol w:w="726"/>
        <w:gridCol w:w="225"/>
        <w:gridCol w:w="658"/>
        <w:gridCol w:w="289"/>
        <w:gridCol w:w="109"/>
        <w:gridCol w:w="109"/>
        <w:gridCol w:w="109"/>
        <w:gridCol w:w="225"/>
        <w:gridCol w:w="658"/>
        <w:gridCol w:w="289"/>
        <w:gridCol w:w="109"/>
        <w:gridCol w:w="109"/>
        <w:gridCol w:w="109"/>
        <w:gridCol w:w="225"/>
        <w:gridCol w:w="658"/>
        <w:gridCol w:w="289"/>
        <w:gridCol w:w="109"/>
        <w:gridCol w:w="109"/>
        <w:gridCol w:w="109"/>
        <w:gridCol w:w="370"/>
        <w:gridCol w:w="190"/>
        <w:gridCol w:w="190"/>
        <w:gridCol w:w="190"/>
        <w:gridCol w:w="190"/>
        <w:gridCol w:w="192"/>
        <w:gridCol w:w="109"/>
        <w:gridCol w:w="109"/>
        <w:gridCol w:w="109"/>
        <w:gridCol w:w="446"/>
        <w:gridCol w:w="230"/>
        <w:gridCol w:w="230"/>
        <w:gridCol w:w="230"/>
        <w:gridCol w:w="230"/>
        <w:gridCol w:w="340"/>
      </w:tblGrid>
      <w:tr>
        <w:trPr/>
        <w:tc>
          <w:tcPr>
            <w:tcW w:w="86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GAAP RESULTS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and EPS)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Sequential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Year-over-Year Change</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(34.0)</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69.2</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ppt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10.6 ppt</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66.7</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60.2</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diluted shares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SELECTED NON-GAAP RESULTS </w:t>
            </w:r>
            <w:r>
              <w:rPr>
                <w:rFonts w:ascii="Times New Roman;serif" w:hAnsi="Times New Roman;serif"/>
                <w:b/>
                <w:color w:val="000000"/>
                <w:sz w:val="13"/>
              </w:rPr>
              <w:t>(1)</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and EPS)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Sequential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Year-over-Year Change</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(34.0)</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ppt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8.8 ppt</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69.4</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diluted shares</w:t>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Adjusted for stock-based compensation expense; amortization of acquired intangible assets; restructuring-related charges and adjustments; merger-related costs; goodwill and intangible asset impairments; settlements, gains, losses and other charges; investment gains and losses; and an adjustment of income taxes.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08"/>
        <w:gridCol w:w="768"/>
        <w:gridCol w:w="770"/>
        <w:gridCol w:w="223"/>
        <w:gridCol w:w="654"/>
        <w:gridCol w:w="288"/>
        <w:gridCol w:w="109"/>
        <w:gridCol w:w="109"/>
        <w:gridCol w:w="109"/>
        <w:gridCol w:w="223"/>
        <w:gridCol w:w="654"/>
        <w:gridCol w:w="288"/>
        <w:gridCol w:w="109"/>
        <w:gridCol w:w="109"/>
        <w:gridCol w:w="109"/>
        <w:gridCol w:w="223"/>
        <w:gridCol w:w="654"/>
        <w:gridCol w:w="288"/>
        <w:gridCol w:w="109"/>
        <w:gridCol w:w="109"/>
        <w:gridCol w:w="109"/>
        <w:gridCol w:w="214"/>
        <w:gridCol w:w="214"/>
        <w:gridCol w:w="214"/>
        <w:gridCol w:w="214"/>
        <w:gridCol w:w="214"/>
        <w:gridCol w:w="220"/>
        <w:gridCol w:w="109"/>
        <w:gridCol w:w="109"/>
        <w:gridCol w:w="109"/>
        <w:gridCol w:w="257"/>
        <w:gridCol w:w="257"/>
        <w:gridCol w:w="257"/>
        <w:gridCol w:w="257"/>
        <w:gridCol w:w="257"/>
        <w:gridCol w:w="381"/>
      </w:tblGrid>
      <w:tr>
        <w:trPr/>
        <w:tc>
          <w:tcPr>
            <w:tcW w:w="90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SELECTED GAAP RESULTS BY OPERATING SEGMENT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Sequential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Year-over-Year Change</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50.1%</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224.1%</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140.0%</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Unallocated amounts </w:t>
            </w:r>
            <w:r>
              <w:rPr>
                <w:rFonts w:ascii="Times New Roman;serif" w:hAnsi="Times New Roman;serif"/>
                <w:b w:val="false"/>
                <w:color w:val="000000"/>
                <w:sz w:val="13"/>
              </w:rPr>
              <w:t>(1)</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221.6%</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as a % of revenue</w:t>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ppt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18.2 ppt</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ppt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9.7 ppt</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ppt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5.7 ppt</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 as a % of revenue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ppt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ppt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stock-based compensation expense; amortization of acquired intangible assets; restructuring-related charges and adjustments; merger-related costs; goodwill and intangible asset impairments; settlements, gains, losses and other charges; and start-up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disclosing financial results calculated in accordance with United States (U.S.) generally accepted accounting principles (GAAP), this earnings release contains some or all of the following non-GAAP financial measures: (i) non-GAAP gross profit and gross margin, (ii) non-GAAP operating expenses, operating income and operating margin, (iii) non-GAAP net income, (iv) non-GAAP net income per diluted share, (v) free cash flow, (vi) EBITDA, (vii) non-GAAP return on invested capital (ROIC), and (viii) net debt or positive net cash. Each of these non-GAAP financial measures is either adjusted from GAAP results to exclude certain expenses or derived from multiple GAAP measures, which are outlined in the “Reconciliation of GAAP to Non-GAAP Financial Measures” tables, attached, and the “Additional Selected Non-GAAP Financial Measures and Reconciliations” tables, attached.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managing Qorvo's business on a consolidated basis, management develops an annual operating plan, which is approved by our Board of Directors, using non-GAAP financial measures. In developing and monitoring performance against this plan, management considers the actual or potential impacts on these non-GAAP financial measures from actions taken to reduce costs with the goal of increasing gross margin and operating margin. In addition, management relies upon these non-GAAP financial measures to assess whether research and development efforts are at an appropriate level, and when making decisions about product spending, administrative budgets, and other operating expenses. Also, we believe that non-GAAP financial measures provide useful supplemental information to investors and enable investors to analyze the results of operations in the same way as management. We have chosen to provide this supplemental information to enable investors to perform additional comparisons of our operating results, to assess our liquidity and capital position and to analyze financial performance excluding the effect of expenses unrelated to operations, and stock-based compensation expense, which may obscure trends in Qorvo's underlying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these non-GAAP financial measures offer an additional view of Qorvo's operations that, when coupled with the GAAP results and the reconciliations to corresponding GAAP financial measures, provide a more complete understanding of Qorvo's results of operations and the factors and trends affecting Qorvo's business. However, these non-GAAP financial measures should be considered as a supplement to, and not as a substitute for, or superior to, the corresponding measures calculated in accordance with GAAP.</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rationale for using these non-GAAP financial measures, as well as their impact on the presentation of Qorvo's operations, are outlined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Non-GAAP gross profit and gross margin. </w:t>
      </w:r>
      <w:r>
        <w:rPr>
          <w:rFonts w:ascii="Times New Roman;serif" w:hAnsi="Times New Roman;serif"/>
          <w:b w:val="false"/>
          <w:color w:val="000000"/>
          <w:sz w:val="20"/>
        </w:rPr>
        <w:t xml:space="preserve">Non-GAAP gross profit and gross margin exclude amortization of acquired intangible </w:t>
      </w:r>
      <w:r>
        <w:rPr>
          <w:rFonts w:ascii="Times New Roman;serif" w:hAnsi="Times New Roman;serif"/>
          <w:b w:val="false"/>
          <w:color w:val="000000"/>
          <w:sz w:val="20"/>
          <w:shd w:fill="FFFFFF" w:val="clear"/>
        </w:rPr>
        <w:t>assets,</w:t>
      </w:r>
      <w:r>
        <w:rPr>
          <w:color w:val="000000"/>
        </w:rPr>
        <w:t xml:space="preserve"> </w:t>
      </w:r>
      <w:r>
        <w:rPr>
          <w:rFonts w:ascii="Times New Roman;serif" w:hAnsi="Times New Roman;serif"/>
          <w:b w:val="false"/>
          <w:color w:val="000000"/>
          <w:sz w:val="20"/>
        </w:rPr>
        <w:t xml:space="preserve">stock-based compensation expense, restructuring-related charges, </w:t>
      </w:r>
      <w:r>
        <w:rPr>
          <w:rFonts w:ascii="Times New Roman;serif" w:hAnsi="Times New Roman;serif"/>
          <w:b w:val="false"/>
          <w:color w:val="000000"/>
          <w:sz w:val="20"/>
          <w:shd w:fill="FFFFFF" w:val="clear"/>
        </w:rPr>
        <w:t>acquisition and integration-related costs, and certain other charges or income.</w:t>
      </w:r>
      <w:r>
        <w:rPr>
          <w:color w:val="000000"/>
        </w:rPr>
        <w:t xml:space="preserve"> </w:t>
      </w:r>
      <w:r>
        <w:rPr>
          <w:rFonts w:ascii="Times New Roman;serif" w:hAnsi="Times New Roman;serif"/>
          <w:b w:val="false"/>
          <w:color w:val="000000"/>
          <w:sz w:val="20"/>
        </w:rPr>
        <w:t xml:space="preserve">We believe that exclusion of these costs in presenting non-GAAP gross profit and gross margin facilitates a useful evaluation of our historical performance and projected costs and the potential for realizing cost efficiencies.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view amortization of acquired acquisition-related intangible assets, such as the amortization of the cost associated with an acquired company’s research and development efforts, trade names, and customer relationships, as items arising from pre-acquisition activities, determined at the time of an acquisition, rather than ongoing costs of operating Qorvo’s business. While these intangible assets are continually evaluated for impairment, amortization of the cost of purchased intangible assets is a static expense, which is not typically affected by operations during any particular period. Although we exclude the amortization of purchased intangible assets from these non-GAAP financial measures, management believes that it is important for investors to understand that such intangible assets were recorded as part of purchase price accounting and contribute to revenue generation.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presentation of non-GAAP gross profit and gross margin and other non-GAAP financial measures that exclude the impact of stock-based compensation expense assists management and investors in evaluating the period-over-period performance of Qorvo's ongoing operations because (i) the expenses are non-cash in nature, and (ii) although the size of the grants is within our control, the amount of expense varies depending on factors such as short-term fluctuations in stock price volatility and prevailing interest rates, which can be unrelated to the operational performance of Qorvo during the period in which the expense is incurred and generally are outside the control of management. Moreover, we believe that the exclusion of stock-based compensation expense in presenting non-GAAP gross profit and gross margin and other non-GAAP financial measures is useful to investors to understand the impact of the expensing of stock-based compensation to Qorvo's gross profit and gross margins and other financial measures in comparison to prior periods. We also believe that the adjustments to profit and margin related to restructuring-related charges, and acquisition and integration-related costs do not constitute part of Qorvo's ongoing operations and therefore the exclusion of these items provides management and investors with better visibility into the actual costs required to generate revenues over time and facilitates a useful evaluation of our historical and projected performance. We believe disclosure of non-GAAP gross profit and gross margin has economic substance because the excluded expenses do not represent continuing cash expenditures and, as described above, we have little control over the timing and amount of the expenses in question.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Non-GAAP operating expenses, operating income and operating margin.</w:t>
      </w:r>
      <w:r>
        <w:rPr>
          <w:color w:val="000000"/>
        </w:rPr>
        <w:t xml:space="preserve"> </w:t>
      </w:r>
      <w:r>
        <w:rPr>
          <w:rFonts w:ascii="Times New Roman;serif" w:hAnsi="Times New Roman;serif"/>
          <w:b w:val="false"/>
          <w:color w:val="000000"/>
          <w:sz w:val="20"/>
        </w:rPr>
        <w:t>Non-GAAP operating expenses, operating income and operating margin exclude stock-based compensation expense, amortization of acquired intangible assets, acquisition and integration-related costs, merger-related costs, goodwill and intangible asset impairments, restructuring-related charges and certain settlements, gains, losses and other charges. We believe that presentation of a measure of operating expenses, operating income and operating margin that excludes amortization of acquired intangible assets and stock-based compensation expense is useful to both management and investors for the same reasons as described above with respect to our use of non-GAAP gross profit and gross margin. We believe that acquisition and integration-related costs, merger-related costs, goodwill and intangible asset impairments, restructuring-related charges and certain settlements, gains, losses and other charges do not constitute part of Qorvo's ongoing operations and therefore, the exclusion of these costs provides management and investors with better visibility into the actual costs required to generate revenues over time and facilitates a useful evaluation of our historical and projected performance. We believe disclosure of non-GAAP operating expenses, operating income and operating margin has economic substance because the excluded expenses are either unrelated to ongoing operations or do not represent current cash expenditures.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i/>
          <w:color w:val="000000"/>
          <w:sz w:val="20"/>
        </w:rPr>
        <w:t>Non-GAAP net income and non-GAAP net income per diluted share.</w:t>
      </w:r>
      <w:r>
        <w:rPr>
          <w:color w:val="000000"/>
        </w:rPr>
        <w:t xml:space="preserve"> </w:t>
      </w:r>
      <w:r>
        <w:rPr>
          <w:rFonts w:ascii="Times New Roman;serif" w:hAnsi="Times New Roman;serif"/>
          <w:b w:val="false"/>
          <w:color w:val="000000"/>
          <w:sz w:val="20"/>
        </w:rPr>
        <w:t xml:space="preserve">Non-GAAP net income and non-GAAP net income per diluted share exclude the effects of stock-based compensation expense, amortization of acquired intangible assets, acquisition and integration-related costs, merger-related costs, goodwill and intangible asset impairments, restructuring-related charges, certain settlements, gains, losses and other charges, investment and debt-related gains and losses, and also reflect an adjustment of income taxes. The income tax adjustment primarily represents the use of research and development tax credit carryforwards, deferred tax expense (benefit) items not affecting taxes payable, adjustments related to the deemed and actual repatriation of historical foreign earnings, non-cash expense (benefit) related to uncertain tax positions and other items unrelated to the current fiscal year or that are not indicative of our ongoing business operations. We believe that presentation of measures of net income and net income per diluted share that exclude these items is useful to both management and investors for the reasons described above with respect to non-GAAP gross profit and gross margin and non-GAAP operating expenses, operating income and operating margin. We believe disclosure of non-GAAP net income and non-GAAP net income per diluted share has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substance because the excluded expenses are either unrelated to ongoing operations or do not represent current cash expenditures.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Free cash flow. </w:t>
      </w:r>
      <w:r>
        <w:rPr>
          <w:rFonts w:ascii="Times New Roman;serif" w:hAnsi="Times New Roman;serif"/>
          <w:b w:val="false"/>
          <w:color w:val="000000"/>
          <w:sz w:val="20"/>
        </w:rPr>
        <w:t>Qorvo defines free cash flow as net cash provided by operating activities during the period minus property and equipment expenditures made during the period, and free cash flow margin is calculated as free cash flow as a percentage of revenue. We use free cash flow as a supplemental financial measure in our evaluation of liquidity and financial strength. Management believes that this measure is useful as an indicator of our ability to service our debt, meet other payment obligations and make strategic investments. Free cash flow should be considered in addition to, rather than as a substitute for, net income as a measure of our performance and net cash provided by operating activities as a measure of our liquidity. Additionally, our definition of free cash flow is limited, in that it does not represent residual cash flows available for discretionary expenditures due to the fact that the measure does not deduct the payments required for debt service and other contractual obligations. Therefore, we believe it is important to view free cash flow as a measure that provides supplemental information to our entire statement of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Qorvo adjusts GAAP net income for interest expense, interest income, income tax expense (benefit), depreciation and intangible amortization expense, stock-based compensation and other charges that are not representative of Qorvo's ongoing operations (including goodwill and intangible asset impairments, investment and debt-related gains and losses, acquisition-related costs, merger-related costs, restructuring-related costs and certain settlements, gains, losses and other charges) when presenting EBITDA. Management believes that this measure is useful to evaluate our ongoing operations and as a general indicator of our operating cash flow (in conjunction with a cash flow statement which also includes, among other items, changes in working capital and the effect of non-cash charges).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Non-GAAP ROIC.</w:t>
      </w:r>
      <w:r>
        <w:rPr>
          <w:color w:val="000000"/>
        </w:rPr>
        <w:t xml:space="preserve"> </w:t>
      </w:r>
      <w:r>
        <w:rPr>
          <w:rFonts w:ascii="Times New Roman;serif" w:hAnsi="Times New Roman;serif"/>
          <w:b w:val="false"/>
          <w:color w:val="000000"/>
          <w:sz w:val="20"/>
        </w:rPr>
        <w:t>ROIC is a non-GAAP financial measure that management believes provides useful supplemental information for management and the investor by measuring the effectiveness of our operations' use of invested capital to generate profits. We use ROIC to track how much value we are creating for our shareholders. Non-GAAP ROIC is calculated by dividing annualized non-GAAP operating income, net of an adjustment for income taxes (as described above), by average invested capital. Average invested capital is calculated by subtracting the average of the beginning balance and the ending balance of equity plus net debt, less certain goodwill.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Net debt or positive net cash</w:t>
      </w:r>
      <w:r>
        <w:rPr>
          <w:rFonts w:ascii="Times New Roman;serif" w:hAnsi="Times New Roman;serif"/>
          <w:b w:val="false"/>
          <w:color w:val="000000"/>
          <w:sz w:val="20"/>
        </w:rPr>
        <w:t>. Net debt or positive net cash is defined as unrestricted cash, cash equivalents and short-term investments, minus any borrowings under our credit facility and the principal balance of our senior unsecured notes. Management believes that net debt or positive net cash provides useful information regarding the level of Qorvo's indebtedness by reflecting cash and investments that could be used to repay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Inventory days on hand</w:t>
      </w:r>
      <w:r>
        <w:rPr>
          <w:rFonts w:ascii="Times New Roman;serif" w:hAnsi="Times New Roman;serif"/>
          <w:b w:val="false"/>
          <w:color w:val="000000"/>
          <w:sz w:val="20"/>
        </w:rPr>
        <w:t>. Inventory days on hand is defined as (a) average net inventory for the period, divided by (b) the result of non-GAAP cost of goods sold for the period divided by the number of days in the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Forward-looking non-GAAP financial measures. </w:t>
      </w:r>
      <w:r>
        <w:rPr>
          <w:rFonts w:ascii="Times New Roman;serif" w:hAnsi="Times New Roman;serif"/>
          <w:b w:val="false"/>
          <w:color w:val="000000"/>
          <w:sz w:val="20"/>
        </w:rPr>
        <w:t xml:space="preserve">Our earnings release contains forward-looking gross margin and diluted earnings per share. We provide these non-GAAP measures to investors on a prospective basis for the same reasons (set forth above) that we provide them to investors on a historical basis. We are unable to provide a reconciliation of the forward-looking non-GAAP financial measures to the most directly comparable forward-looking GAAP financial measures without unreasonable effort due to variability and difficulty in making accurate projections for items that would be required to be included in the GAAP measures, such as stock-based compensation, acquisition and integration-related costs, merger-related costs, restructuring-related charges, goodwill and intangible asset impairments, certain settlements, gains, losses and other charges, investment and debt-related gains or losses and the provision for income taxes, which could have a potentially significant impact on our future GAAP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Limitations of non-GAAP financial measures.</w:t>
      </w:r>
      <w:r>
        <w:rPr>
          <w:color w:val="000000"/>
        </w:rPr>
        <w:t xml:space="preserve"> </w:t>
      </w:r>
      <w:r>
        <w:rPr>
          <w:rFonts w:ascii="Times New Roman;serif" w:hAnsi="Times New Roman;serif"/>
          <w:b w:val="false"/>
          <w:color w:val="000000"/>
          <w:sz w:val="20"/>
        </w:rPr>
        <w:t>The primary material limitations associated with the use of non-GAAP financial measures as an analytical tool compared to the most directly comparable GAAP financial measures are these non-GAAP financial measures (i) may not be comparable to similarly titled measures used by other companies in our industry, and (ii) exclude financial information that some may consider important in evaluating our performance, thus limiting their usefulness as a comparative tool. We compensate for these limitations by providing full disclosure of the differences between these non-GAAP financial measures and the corresponding GAAP financial measures, including a reconciliation of the non-GAAP financial measures to the corresponding GAAP financial measures, to enable investors to perform their own analysis of our gross profit and gross margin, operating expenses, operating income, net income, net income per diluted share and net cash provided by operating activities. We further compensate for the limitations of our use of non-GAAP financial measures by presenting the corresponding GAAP measures more prominently.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Qorvo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Qorvo (Nasdaq:QRVO) supplies innovative semiconductor solutions that make a better world possible. We combine product and technology leadership, systems-level expertise and global manufacturing scale to quickly solve our customers’ most complex technical challenges. Qorvo serves diverse high-growth segments of large global markets, including automotive, consumer, defense &amp; aerospace, industrial &amp; enterprise, infrastructure and mobile. Visit www.qorvo.com to learn how our diverse and innovative team is helping connect, protect and power our planet.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Qorvo is a registered trademark of Qorvo, Inc. in the U.S. and in other countries. All other trademarks are the property of their respective owners.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effectively execute restructuring initiatives;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open source software risks, including risks related to licensing and security; compliance with evolving data privacy and cybersecurity laws and regulations; provisions in our governing documents and Delaware law may discourage takeovers and business combinations that our stockholders might consider to be in their best interests; negative impacts from activist stockholders; volatility in the price of our common stock; risks and uncertainties relating to the Mergers, including the occurrence of any event, change or other circumstance that could give rise to the right of us or Skyworks to terminate the Merger Agreement; the outcome of any legal proceedings that may be instituted against us or Skyworks in connection with the Mergers; the possibility that the Mergers do not close when expected or at all because of required regulatory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Mergers); that efforts to complete the Mergers may affect our business relationships with our existing and potential customers, suppliers, service providers and other business partners; that the expected synergies from the Mergers may not be fully realized or may take longer to realize than anticipated; any failure to promptly and effectively integrate the businesses of the Company and Skyworks; and that the Mergers may divert management’s attention and time from ongoing business operations and opportunities. These and other risks and uncertainties, which are described in more detail under “Risk Factors” in Part I, Item 1A of our Annual Report on Form 10-K for the fiscal year ended March 28, 2026, and Qorvo’s subsequent reports and statements that we file with the SEC, could cause actual results and developments to be materially different from those expressed or implied by any of these forward-looking statements.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Tables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586" w:type="dxa"/>
        <w:jc w:val="center"/>
        <w:tblInd w:w="0" w:type="dxa"/>
        <w:tblLayout w:type="fixed"/>
        <w:tblCellMar>
          <w:top w:w="28" w:type="dxa"/>
          <w:left w:w="28" w:type="dxa"/>
          <w:bottom w:w="28" w:type="dxa"/>
          <w:right w:w="28" w:type="dxa"/>
        </w:tblCellMar>
      </w:tblPr>
      <w:tblGrid>
        <w:gridCol w:w="1687"/>
        <w:gridCol w:w="1487"/>
        <w:gridCol w:w="1491"/>
        <w:gridCol w:w="234"/>
        <w:gridCol w:w="919"/>
        <w:gridCol w:w="121"/>
        <w:gridCol w:w="109"/>
        <w:gridCol w:w="109"/>
        <w:gridCol w:w="109"/>
        <w:gridCol w:w="234"/>
        <w:gridCol w:w="916"/>
        <w:gridCol w:w="170"/>
      </w:tblGrid>
      <w:tr>
        <w:trPr/>
        <w:tc>
          <w:tcPr>
            <w:tcW w:w="168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784,795 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486,976 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400,968 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331,802 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179,244 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56,891 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304,198 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301,716 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3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2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7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605" cy="14605"/>
                <wp:effectExtent l="0" t="0" r="0" b="0"/>
                <wp:wrapNone/>
                <wp:docPr id="12" name="Frame1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397" w:type="dxa"/>
        <w:jc w:val="center"/>
        <w:tblInd w:w="0" w:type="dxa"/>
        <w:tblLayout w:type="fixed"/>
        <w:tblCellMar>
          <w:top w:w="28" w:type="dxa"/>
          <w:left w:w="28" w:type="dxa"/>
          <w:bottom w:w="28" w:type="dxa"/>
          <w:right w:w="28" w:type="dxa"/>
        </w:tblCellMar>
      </w:tblPr>
      <w:tblGrid>
        <w:gridCol w:w="1705"/>
        <w:gridCol w:w="1501"/>
        <w:gridCol w:w="1503"/>
        <w:gridCol w:w="234"/>
        <w:gridCol w:w="919"/>
        <w:gridCol w:w="121"/>
        <w:gridCol w:w="109"/>
        <w:gridCol w:w="109"/>
        <w:gridCol w:w="109"/>
        <w:gridCol w:w="265"/>
        <w:gridCol w:w="1038"/>
        <w:gridCol w:w="137"/>
        <w:gridCol w:w="109"/>
        <w:gridCol w:w="109"/>
        <w:gridCol w:w="109"/>
        <w:gridCol w:w="234"/>
        <w:gridCol w:w="916"/>
        <w:gridCol w:w="170"/>
      </w:tblGrid>
      <w:tr>
        <w:trPr/>
        <w:tc>
          <w:tcPr>
            <w:tcW w:w="170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Restructuring-related charges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Merger-related costs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gains, losses and other charges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177,640 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190,223 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108,182 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Restructuring-related charges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Merger-related costs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gains, losses and other charges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gains and losses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income taxes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156,832 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86,474 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weighted-average outstanding diluted shares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stock-based awards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weighted-average outstanding diluted shares</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92,628 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3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7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128" w:type="dxa"/>
        <w:jc w:val="center"/>
        <w:tblInd w:w="0" w:type="dxa"/>
        <w:tblLayout w:type="fixed"/>
        <w:tblCellMar>
          <w:top w:w="28" w:type="dxa"/>
          <w:left w:w="28" w:type="dxa"/>
          <w:bottom w:w="28" w:type="dxa"/>
          <w:right w:w="28" w:type="dxa"/>
        </w:tblCellMar>
      </w:tblPr>
      <w:tblGrid>
        <w:gridCol w:w="1319"/>
        <w:gridCol w:w="1162"/>
        <w:gridCol w:w="1164"/>
        <w:gridCol w:w="211"/>
        <w:gridCol w:w="826"/>
        <w:gridCol w:w="109"/>
        <w:gridCol w:w="255"/>
        <w:gridCol w:w="256"/>
        <w:gridCol w:w="271"/>
        <w:gridCol w:w="109"/>
        <w:gridCol w:w="109"/>
        <w:gridCol w:w="109"/>
        <w:gridCol w:w="211"/>
        <w:gridCol w:w="826"/>
        <w:gridCol w:w="109"/>
        <w:gridCol w:w="255"/>
        <w:gridCol w:w="256"/>
        <w:gridCol w:w="271"/>
        <w:gridCol w:w="109"/>
        <w:gridCol w:w="109"/>
        <w:gridCol w:w="109"/>
        <w:gridCol w:w="211"/>
        <w:gridCol w:w="826"/>
        <w:gridCol w:w="109"/>
        <w:gridCol w:w="255"/>
        <w:gridCol w:w="256"/>
        <w:gridCol w:w="316"/>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profit/margin</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Restructuring-related (adjustments) charges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profit/margin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5548" w:type="dxa"/>
        <w:jc w:val="center"/>
        <w:tblInd w:w="0" w:type="dxa"/>
        <w:tblLayout w:type="fixed"/>
        <w:tblCellMar>
          <w:top w:w="28" w:type="dxa"/>
          <w:left w:w="28" w:type="dxa"/>
          <w:bottom w:w="28" w:type="dxa"/>
          <w:right w:w="28" w:type="dxa"/>
        </w:tblCellMar>
      </w:tblPr>
      <w:tblGrid>
        <w:gridCol w:w="1314"/>
        <w:gridCol w:w="1154"/>
        <w:gridCol w:w="1161"/>
        <w:gridCol w:w="389"/>
        <w:gridCol w:w="389"/>
        <w:gridCol w:w="1141"/>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27, 2026</w:t>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41"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4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Restructuring-related charges</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Merger-related costs</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4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gains, losses and other charges</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7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5384" w:type="dxa"/>
        <w:jc w:val="center"/>
        <w:tblInd w:w="0" w:type="dxa"/>
        <w:tblLayout w:type="fixed"/>
        <w:tblCellMar>
          <w:top w:w="28" w:type="dxa"/>
          <w:left w:w="28" w:type="dxa"/>
          <w:bottom w:w="28" w:type="dxa"/>
          <w:right w:w="28" w:type="dxa"/>
        </w:tblCellMar>
      </w:tblPr>
      <w:tblGrid>
        <w:gridCol w:w="1248"/>
        <w:gridCol w:w="1103"/>
        <w:gridCol w:w="1113"/>
        <w:gridCol w:w="340"/>
        <w:gridCol w:w="1332"/>
        <w:gridCol w:w="248"/>
      </w:tblGrid>
      <w:tr>
        <w:trPr/>
        <w:tc>
          <w:tcPr>
            <w:tcW w:w="124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Free Cash Flow </w:t>
            </w:r>
            <w:r>
              <w:rPr>
                <w:rFonts w:ascii="Times New Roman;serif" w:hAnsi="Times New Roman;serif"/>
                <w:b/>
                <w:color w:val="000000"/>
                <w:sz w:val="13"/>
              </w:rPr>
              <w:t>(1)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27, 2026</w:t>
            </w:r>
          </w:p>
        </w:tc>
      </w:tr>
      <w:tr>
        <w:trPr/>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139,493 </w:t>
            </w:r>
          </w:p>
        </w:tc>
        <w:tc>
          <w:tcPr>
            <w:tcW w:w="24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w:t>
            </w:r>
          </w:p>
        </w:tc>
        <w:tc>
          <w:tcPr>
            <w:tcW w:w="24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115,349 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Free Cash Flow is calculated as net cash provided by operating activities minus property and equipment expenditures.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SELECTED NON-GAAP FINANCIAL MEASURES AND RECONCILIATIONS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62"/>
        <w:gridCol w:w="1743"/>
        <w:gridCol w:w="1754"/>
        <w:gridCol w:w="228"/>
        <w:gridCol w:w="895"/>
        <w:gridCol w:w="117"/>
        <w:gridCol w:w="109"/>
        <w:gridCol w:w="109"/>
        <w:gridCol w:w="109"/>
        <w:gridCol w:w="250"/>
        <w:gridCol w:w="982"/>
        <w:gridCol w:w="129"/>
        <w:gridCol w:w="109"/>
        <w:gridCol w:w="109"/>
        <w:gridCol w:w="109"/>
        <w:gridCol w:w="228"/>
        <w:gridCol w:w="892"/>
        <w:gridCol w:w="171"/>
      </w:tblGrid>
      <w:tr>
        <w:trPr/>
        <w:tc>
          <w:tcPr>
            <w:tcW w:w="216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170,388 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158,833 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165,061 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marketing and selling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marketing and selling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other operating expense (including goodwill and intangible asset impairment)</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(adjustment) expense</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Restructuring-related charges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Merger-related costs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gains, losses and other charges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other operating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total operating expense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304,198 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363,507 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301,716 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36,834 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Restructuring-related charges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Merger-related costs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gains, losses and other charges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total operating expense</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236,628 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234,961 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251,812 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35"/>
        <w:gridCol w:w="2343"/>
        <w:gridCol w:w="2108"/>
        <w:gridCol w:w="211"/>
        <w:gridCol w:w="976"/>
        <w:gridCol w:w="109"/>
        <w:gridCol w:w="109"/>
        <w:gridCol w:w="109"/>
        <w:gridCol w:w="109"/>
        <w:gridCol w:w="219"/>
        <w:gridCol w:w="1016"/>
        <w:gridCol w:w="161"/>
      </w:tblGrid>
      <w:tr>
        <w:trPr/>
        <w:tc>
          <w:tcPr>
            <w:tcW w:w="273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March 28, 2026</w:t>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1,219,015 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382,509 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553,718 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36,724 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16,172 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98,176 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2,436,722 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2,306,314 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710,392 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2,353,226 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121,506 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317,857 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5,939,456 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5,825,590 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242,870 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248,160 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221,727 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712,757 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1,549,154 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219,380 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2,481,291 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 shares authorized; no shares issued and outstanding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 $0.0001 par value; 405,000 shares authorized; 88,218 and 87,741 shares issued and outstanding at June 27, 2026 and March 28, 2026, respectively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3,301,450 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38,788 </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3,344,299 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5,939,456 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5,825,590 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893" w:type="dxa"/>
        <w:jc w:val="center"/>
        <w:tblInd w:w="0" w:type="dxa"/>
        <w:tblLayout w:type="fixed"/>
        <w:tblCellMar>
          <w:top w:w="28" w:type="dxa"/>
          <w:left w:w="28" w:type="dxa"/>
          <w:bottom w:w="28" w:type="dxa"/>
          <w:right w:w="28" w:type="dxa"/>
        </w:tblCellMar>
      </w:tblPr>
      <w:tblGrid>
        <w:gridCol w:w="2505"/>
        <w:gridCol w:w="2205"/>
        <w:gridCol w:w="2219"/>
        <w:gridCol w:w="211"/>
        <w:gridCol w:w="976"/>
        <w:gridCol w:w="109"/>
        <w:gridCol w:w="109"/>
        <w:gridCol w:w="109"/>
        <w:gridCol w:w="109"/>
        <w:gridCol w:w="211"/>
        <w:gridCol w:w="97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paid on behalf of employees for restricted stock units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proceeds from purchase and sale of inventories subject to repurchase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1,021,176 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At Qorvo</w:t>
      </w:r>
      <w:r>
        <w:rPr>
          <w:rFonts w:ascii="Times New Roman;serif" w:hAnsi="Times New Roman;serif"/>
          <w:b w:val="false"/>
          <w:color w:val="000000"/>
          <w:sz w:val="13"/>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 DeLieto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VP, Investor Relations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1.336.678.7968</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5408</Words>
  <Characters>31664</Characters>
  <CharactersWithSpaces>36472</CharactersWithSpaces>
  <Paragraphs>1018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