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0" w:name="tm2625617d3_425.htm"/>
      <w:bookmarkStart w:id="1" w:name="kstm2625617d3_425"/>
      <w:bookmarkEnd w:id="0"/>
      <w:bookmarkEnd w:id="1"/>
      <w:r>
        <w:rPr>
          <w:rFonts w:ascii="Times New Roman;Times;Serif" w:hAnsi="Times New Roman;Times;Serif"/>
          <w:b w:val="false"/>
          <w:i w:val="false"/>
          <w:caps w:val="false"/>
          <w:smallCaps w:val="false"/>
          <w:sz w:val="20"/>
        </w:rPr>
        <w:t>FILED BY SKYWORKS SOLUTIONS,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AND RULE 14d-2(b)</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QORVO,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333-291947</w:t>
      </w:r>
    </w:p>
    <w:p>
      <w:pPr>
        <w:pStyle w:val="TextBody"/>
        <w:bidi w:val="0"/>
        <w:spacing w:before="0" w:after="283"/>
        <w:jc w:val="left"/>
        <w:rPr/>
      </w:pPr>
      <w:r>
        <w:rPr/>
        <w:t> </w:t>
      </w:r>
    </w:p>
    <w:p>
      <w:pPr>
        <w:pStyle w:val="TextBody"/>
        <w:bidi w:val="0"/>
        <w:spacing w:before="0" w:after="283"/>
        <w:jc w:val="left"/>
        <w:rPr/>
      </w:pPr>
      <w:r>
        <w:rPr/>
        <w:drawing>
          <wp:inline distT="0" distB="0" distL="0" distR="0">
            <wp:extent cx="19050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628650"/>
                    </a:xfrm>
                    <a:prstGeom prst="rect">
                      <a:avLst/>
                    </a:prstGeom>
                  </pic:spPr>
                </pic:pic>
              </a:graphicData>
            </a:graphic>
          </wp:inline>
        </w:drawing>
      </w:r>
    </w:p>
    <w:p>
      <w:pPr>
        <w:pStyle w:val="TextBody"/>
        <w:bidi w:val="0"/>
        <w:spacing w:before="0" w:after="283"/>
        <w:jc w:val="left"/>
        <w:rPr/>
      </w:pPr>
      <w:r>
        <w:rPr/>
        <w:t> </w:t>
      </w:r>
    </w:p>
    <w:tbl>
      <w:tblPr>
        <w:tblW w:w="6505" w:type="dxa"/>
        <w:jc w:val="left"/>
        <w:tblInd w:w="0" w:type="dxa"/>
        <w:tblLayout w:type="fixed"/>
        <w:tblCellMar>
          <w:top w:w="0" w:type="dxa"/>
          <w:left w:w="0" w:type="dxa"/>
          <w:bottom w:w="0" w:type="dxa"/>
          <w:right w:w="0" w:type="dxa"/>
        </w:tblCellMar>
      </w:tblPr>
      <w:tblGrid>
        <w:gridCol w:w="3770"/>
        <w:gridCol w:w="2735"/>
      </w:tblGrid>
      <w:tr>
        <w:trPr/>
        <w:tc>
          <w:tcPr>
            <w:tcW w:w="3770" w:type="dxa"/>
            <w:tcBorders/>
            <w:vAlign w:val="center"/>
          </w:tcPr>
          <w:p>
            <w:pPr>
              <w:pStyle w:val="TableContents"/>
              <w:bidi w:val="0"/>
              <w:spacing w:before="0" w:after="283"/>
              <w:jc w:val="left"/>
              <w:rPr/>
            </w:pPr>
            <w:r>
              <w:rPr>
                <w:b/>
              </w:rPr>
              <w:t>Media Relations:</w:t>
            </w:r>
            <w:r>
              <w:rPr/>
              <w:t xml:space="preserve"> </w:t>
              <w:br/>
              <w:t xml:space="preserve">Constance Griffiths </w:t>
              <w:br/>
              <w:t xml:space="preserve">(949) 230-4867 </w:t>
              <w:br/>
              <w:t>Constance.Griffiths@skyworksinc.com</w:t>
            </w:r>
          </w:p>
        </w:tc>
        <w:tc>
          <w:tcPr>
            <w:tcW w:w="2735" w:type="dxa"/>
            <w:tcBorders/>
            <w:vAlign w:val="center"/>
          </w:tcPr>
          <w:p>
            <w:pPr>
              <w:pStyle w:val="TableContents"/>
              <w:bidi w:val="0"/>
              <w:spacing w:before="0" w:after="283"/>
              <w:jc w:val="right"/>
              <w:rPr/>
            </w:pPr>
            <w:r>
              <w:rPr>
                <w:b/>
              </w:rPr>
              <w:t>Investor Relations:</w:t>
            </w:r>
            <w:r>
              <w:rPr/>
              <w:t xml:space="preserve"> </w:t>
              <w:br/>
              <w:t xml:space="preserve">Raji Gill </w:t>
              <w:br/>
              <w:t xml:space="preserve">(949) 508-0973 </w:t>
              <w:br/>
              <w:t>Raji.Gill@skyworksinc.com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Skyworks Announces Extension of Expiration Date of Exchange Offers for Qorvo’s Senior Notes due 2029 and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 September 18, 2026 – Skyworks Solutions, Inc. (Nasdaq: SWKS) (“Skyworks”), a leading developer, manufacturer and provider of analog and mixed-signal semiconductors and solutions for numerous applications, today announced that it has extended the expiration date of its previously announced offers to holders of Qorvo Notes (as defined herein) to exchange (the “Exchange Offers”) any and all outstanding 4.375% Senior Notes due 2029 (the “2029 Qorvo Notes”) and any and all outstanding 3.375% Senior Notes due 2031 (the “2031 Qorvo Notes” and, together with the 2029 Qorvo Notes, the “Qorvo Notes”) issued by Qorvo, Inc. (“Qorvo”) as set forth in the table below for (1) with respect to the 2029 Qorvo Notes, up to $850,000,000 aggregate principal amount of new 4.375% Senior Notes due 2029 (the “New 2029 Skyworks Notes”) issued by Skyworks and (2) with respect to the 2031 Qorvo Notes, up to $700,000,000 aggregate principal amount of new 3.375% Senior Notes due 2031 (together with the New 2029 Skyworks Notes, the “New Skyworks Notes”) issued by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Extension of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Expiration Date of the Exchange Offers and the Withdrawal Deadline were previously extended to 5:00 p.m., New York City time, on September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has further extended the Expiration Date and the Withdrawal Deadline to 5:00 p.m., New York City time, on September 25, 2026, subject to further extension or earlier termination or other amendment. Skyworks is hopeful that the Mergers (as defined herein) will close within the calendar year (subject to satisfaction or waiver of all closing conditions) and is preparing to close as early as within the fiscal year. However, there can be no assurances that the closing will occur on this timeline. All other terms and conditions of the Exchange Offers as set forth in the Prospectus (as defined herein) remain in full force and effect. Capitalized terms used but not defined herein have the respective meanings set forth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Bondholder Services Corporation, the information agent for the Exchange Offers, has advised Skyworks that as of 5:00 p.m., New York City time, on September 18, 2026, the last business day prior to the announcement of the further extension of the Exchange Offers, the following respective principal amounts of each series of Qorvo Notes have been validly tendered and not validly withdrawn:</w:t>
      </w:r>
    </w:p>
    <w:p>
      <w:pPr>
        <w:pStyle w:val="TextBody"/>
        <w:bidi w:val="0"/>
        <w:spacing w:before="0" w:after="0"/>
        <w:ind w:left="0" w:right="0" w:hanging="0"/>
        <w:jc w:val="left"/>
        <w:rPr>
          <w:caps w:val="false"/>
          <w:smallCaps w:val="false"/>
        </w:rPr>
      </w:pPr>
      <w:r>
        <w:rPr>
          <w:caps w:val="false"/>
          <w:smallCaps w:val="false"/>
        </w:rPr>
        <w:t> </w:t>
      </w:r>
    </w:p>
    <w:tbl>
      <w:tblPr>
        <w:tblW w:w="8045" w:type="dxa"/>
        <w:jc w:val="left"/>
        <w:tblInd w:w="0" w:type="dxa"/>
        <w:tblLayout w:type="fixed"/>
        <w:tblCellMar>
          <w:top w:w="28" w:type="dxa"/>
          <w:left w:w="0" w:type="dxa"/>
          <w:bottom w:w="28" w:type="dxa"/>
          <w:right w:w="0" w:type="dxa"/>
        </w:tblCellMar>
      </w:tblPr>
      <w:tblGrid>
        <w:gridCol w:w="3125"/>
        <w:gridCol w:w="1850"/>
        <w:gridCol w:w="1910"/>
        <w:gridCol w:w="1160"/>
      </w:tblGrid>
      <w:tr>
        <w:trPr/>
        <w:tc>
          <w:tcPr>
            <w:tcW w:w="312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Title of Qorvo Notes / </w:t>
              <w:br/>
              <w:t>CUSIP / ISIN No.</w:t>
            </w:r>
          </w:p>
        </w:tc>
        <w:tc>
          <w:tcPr>
            <w:tcW w:w="1850"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Principal Amount</w:t>
              <w:br/>
              <w:t>Outstanding</w:t>
            </w:r>
          </w:p>
        </w:tc>
        <w:tc>
          <w:tcPr>
            <w:tcW w:w="1910"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Principal Amount </w:t>
              <w:br/>
              <w:t>Tendered</w:t>
            </w:r>
          </w:p>
        </w:tc>
        <w:tc>
          <w:tcPr>
            <w:tcW w:w="1160"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w:t>
            </w:r>
          </w:p>
        </w:tc>
      </w:tr>
      <w:tr>
        <w:trPr/>
        <w:tc>
          <w:tcPr>
            <w:tcW w:w="3125" w:type="dxa"/>
            <w:tcBorders/>
            <w:tcMar>
              <w:top w:w="0" w:type="dxa"/>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4.375% Senior Notes due 2029  </w:t>
              <w:br/>
              <w:br/>
              <w:t xml:space="preserve">Registered: </w:t>
              <w:br/>
              <w:br/>
              <w:t>74736KAH4 /</w:t>
              <w:br/>
              <w:t>US74736KAH41  </w:t>
              <w:br/>
              <w:br/>
              <w:t xml:space="preserve">144A: </w:t>
              <w:br/>
              <w:t xml:space="preserve">74736KAG6 / </w:t>
              <w:br/>
              <w:t>US74736KAG67  </w:t>
              <w:br/>
              <w:br/>
              <w:t xml:space="preserve">Regulation S: </w:t>
              <w:br/>
              <w:t xml:space="preserve">U7471QAF1 / </w:t>
              <w:br/>
              <w:t>USU7471QAF10</w:t>
            </w:r>
          </w:p>
        </w:tc>
        <w:tc>
          <w:tcPr>
            <w:tcW w:w="185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$850,000,000</w:t>
            </w:r>
          </w:p>
        </w:tc>
        <w:tc>
          <w:tcPr>
            <w:tcW w:w="191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$775,664,000</w:t>
            </w:r>
          </w:p>
        </w:tc>
        <w:tc>
          <w:tcPr>
            <w:tcW w:w="116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91.25%</w:t>
            </w:r>
          </w:p>
        </w:tc>
      </w:tr>
      <w:tr>
        <w:trPr/>
        <w:tc>
          <w:tcPr>
            <w:tcW w:w="3125" w:type="dxa"/>
            <w:tcBorders/>
            <w:tcMar>
              <w:top w:w="0" w:type="dxa"/>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3.375% Senior Notes due 2031 </w:t>
              <w:br/>
              <w:br/>
              <w:t xml:space="preserve">144A: </w:t>
              <w:br/>
              <w:t>74736KAJ0 /</w:t>
              <w:br/>
              <w:t>US74736KAJ07  </w:t>
              <w:br/>
              <w:br/>
              <w:t xml:space="preserve">Regulation S: </w:t>
              <w:br/>
              <w:t xml:space="preserve">U7471QAJ3 / </w:t>
              <w:br/>
              <w:t>USU7471QAJ32</w:t>
            </w:r>
          </w:p>
        </w:tc>
        <w:tc>
          <w:tcPr>
            <w:tcW w:w="185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$700,000,000</w:t>
            </w:r>
          </w:p>
        </w:tc>
        <w:tc>
          <w:tcPr>
            <w:tcW w:w="191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$653,328,000</w:t>
            </w:r>
          </w:p>
        </w:tc>
        <w:tc>
          <w:tcPr>
            <w:tcW w:w="116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Qorvo Notes who have already validly tendered and not validly withdrawn their Qorvo Notes do not need to re-tender their notes or take any other action as a result of the extension of the Expiration Date, and their tenders remain effective. Holders of Qorvo Notes who have not yet validly tendered, or who validly tendered and validly withdrew, may tender or re-tender, as applicable, their Qorvo Notes at any time at or prior to the Expiration Date and will be eligible to receive the applicable consideration as described in the Prospectus, subject to the terms and conditions set forth in the Prospectus, including, subject to submitting a valid Early Participation VOI Number with respect to such tendered or re-tendered Qorvo Notes, the Early Participation Premium with respect to such Qorvo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Prospectus, the settlement date (the “Settlement Date”) will be promptly after the Expiration Date and is expected to occur no earlier than the second business day after the closing date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Offers are being made pursuant to the terms and subject to the conditions set forth in Skyworks’ registration statement on Form S-4, which was declared effective on May 29, 2026, and the related final prospectus filed with the U.S. Securities and Exchange Commission (the “SEC”) on May 29, 2026 (as it may be amended or supplemented from time to time, the “Prospectus”). Capitalized terms used but not defined herein have the meanings ascribed to such terms in the Prospectus. Each Exchange Offer is conditioned upon the closing of the transactions pursuant to which Qorvo will merge with and into a subsidiary of Skyworks (the “Mergers”), with such subsidiary continuing as the surviving entity and a wholly-owned subsidiary of Skyworks, which condition may not be waived by Skyworks. The closing of the Mergers is not conditioned upon the results of the Exchange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in its sole discretion, may modify or terminate either Exchange Offer and may extend the Expiration Date and/or the Settlement Date with respect to either Exchange Offer, subject to applicable law. Any such modification, termination or extension by Skyworks with respect to an Exchange Offer will not automatically modify, terminate or extend the other Exchange Offer. The Exchange Offer with respect to a series of Qorvo Notes is not conditioned upon the consummation of the Exchange Offer with respect to the other series of Qorvo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 terms and conditions of the Exchange Offers are described in the Prospectus, a copy of which may be obtained by contacting Global Bondholder Services Corporation, the exchange agent and information agent in connection with the Exchange Offers, at (855) 654-2015 (U.S. toll-free) or (212) 430-3774 (banks and brokers) or contact@gbsc-usa.com. Questions regarding the terms and conditions of the Exchange Offers should be directed to the dealer manager, Goldman Sachs &amp; Co. LLC, 200 West Street, New York, New York 10282, Collect: (212) 357-1452, Toll-Free: (800) 828-3182.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purchase, or a solicitation of an offer to purchase or sell, any security. No offer, solicitation, purchase or sale will be made in any jurisdiction in which such an offer, solicitation, or sale would be unlawful. The Exchange Offers are being made solely pursuant to the Prospectus and only to such persons and in such jurisdictions as is permitted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is empowering the wireless networking revolution. Skyworks is a leading developer, manufacturer and provider of analog and mixed-signal semiconductors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is a global company with engineering, marketing, operations, sales and support facilities located throughout Asia, Europe and North America and is a member of the S&amp;P 500® market index (Nasdaq: SWKS).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Forward-looking statements relate to future events, including, but not limited to, the Exchange Offers and the Mergers,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Mergers and related transactions with Qorvo; the possibility that expected benefits related to such transactions with Qorvo may not materialize as expected; such transactions with Qorvo being timely completed, if completed at all; regulatory approvals required for the Mergers and related transactions not being timely obtained, if obtained at all, or being obtained subject to conditions; Skyworks or Qorvo’s business experiencing disruptions as a result of the Mergers and related transactions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and related transactions with Qorvo, including with respect to any related litigation; reduced flexibility in operating Skyworks’ business as a result of the substantial amount of additional indebtedness Skyworks has incurred and expects to incur in connection with the Mergers and related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Skyworks’ ongoing securities litigation,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press release are made only as of the date hereof, and Skyworks undertakes no obligation to update or revise the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to Editors: Skyworks and the Skyworks symbol are trademarks or registered trademarks of Skyworks Solutions, Inc., or its subsidiaries in the United States and other countries. Third-party brands and names are for identification purposes only and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Mergers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 Statement/Prospectus”). Each of Skyworks and Qorvo may also file other relevant documents with the SEC regarding the Mergers. This communication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can obtain free copies of the Mergers Registration Statement and Proxy Statement/Prospectus and other documents containing important information about Skyworks, Qorvo and the Mergers filed with the SEC through the website maintained by the SEC at www.sec.gov.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 Gill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508-0973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Raji.Gill@skyworksinc.com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2497</Words>
  <Characters>14633</Characters>
  <CharactersWithSpaces>17151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