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60" w:after="60"/>
        <w:jc w:val="center"/>
        <w:rPr>
          <w:rFonts w:ascii="Times New Roman;serif" w:hAnsi="Times New Roman;serif"/>
          <w:b/>
          <w:color w:val="000000"/>
          <w:sz w:val="40"/>
        </w:rPr>
      </w:pPr>
      <w:r>
        <w:rPr>
          <w:rFonts w:ascii="Times New Roman;serif" w:hAnsi="Times New Roman;serif"/>
          <w:b/>
          <w:color w:val="000000"/>
          <w:sz w:val="40"/>
        </w:rPr>
        <w:t xml:space="preserve">SECURITIES AND EXCHANGE COMMISSION </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 xml:space="preserve">WASHINGTON, D.C. 20549 </w:t>
      </w:r>
    </w:p>
    <w:p>
      <w:pPr>
        <w:pStyle w:val="TextBody"/>
        <w:bidi w:val="0"/>
        <w:spacing w:lineRule="auto" w:line="288" w:before="100" w:after="100"/>
        <w:jc w:val="center"/>
        <w:rPr>
          <w:rFonts w:ascii="Times New Roman;serif" w:hAnsi="Times New Roman;serif"/>
          <w:b/>
          <w:color w:val="000000"/>
          <w:sz w:val="48"/>
        </w:rPr>
      </w:pPr>
      <w:r>
        <w:rPr>
          <w:rFonts w:ascii="Times New Roman;serif" w:hAnsi="Times New Roman;serif"/>
          <w:b/>
          <w:color w:val="000000"/>
          <w:sz w:val="48"/>
        </w:rPr>
        <w:t xml:space="preserve">FORM 8-K </w: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 xml:space="preserve">CURRENT REPORT </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Pursuant to Section 13 or 15(d) of the Securities Exchange Act of 1934 </w:t>
      </w:r>
    </w:p>
    <w:tbl>
      <w:tblPr>
        <w:tblW w:w="5681" w:type="dxa"/>
        <w:jc w:val="center"/>
        <w:tblInd w:w="0" w:type="dxa"/>
        <w:tblLayout w:type="fixed"/>
        <w:tblCellMar>
          <w:top w:w="28" w:type="dxa"/>
          <w:left w:w="28" w:type="dxa"/>
          <w:bottom w:w="28" w:type="dxa"/>
          <w:right w:w="28" w:type="dxa"/>
        </w:tblCellMar>
      </w:tblPr>
      <w:tblGrid>
        <w:gridCol w:w="1481"/>
        <w:gridCol w:w="1302"/>
        <w:gridCol w:w="1312"/>
        <w:gridCol w:w="109"/>
        <w:gridCol w:w="109"/>
        <w:gridCol w:w="109"/>
        <w:gridCol w:w="368"/>
        <w:gridCol w:w="368"/>
        <w:gridCol w:w="523"/>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28, 2026</w:t>
            </w:r>
          </w:p>
        </w:tc>
      </w:tr>
    </w:tbl>
    <w:p>
      <w:pPr>
        <w:pStyle w:val="TextBody"/>
        <w:bidi w:val="0"/>
        <w:spacing w:lineRule="auto" w:line="345" w:before="100" w:after="100"/>
        <w:jc w:val="center"/>
        <w:rPr>
          <w:rFonts w:ascii="Times New Roman;serif" w:hAnsi="Times New Roman;serif"/>
          <w:b/>
          <w:color w:val="000000"/>
          <w:sz w:val="56"/>
          <w:u w:val="single"/>
        </w:rPr>
      </w:pPr>
      <w:r>
        <w:rPr>
          <w:rFonts w:ascii="Times New Roman;serif" w:hAnsi="Times New Roman;serif"/>
          <w:b/>
          <w:color w:val="000000"/>
          <w:sz w:val="56"/>
          <w:u w:val="single"/>
        </w:rPr>
        <w:t>Skyworks Solutions, Inc.</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7769" w:type="dxa"/>
        <w:jc w:val="center"/>
        <w:tblInd w:w="0" w:type="dxa"/>
        <w:tblLayout w:type="fixed"/>
        <w:tblCellMar>
          <w:top w:w="28" w:type="dxa"/>
          <w:left w:w="28" w:type="dxa"/>
          <w:bottom w:w="28" w:type="dxa"/>
          <w:right w:w="28" w:type="dxa"/>
        </w:tblCellMar>
      </w:tblPr>
      <w:tblGrid>
        <w:gridCol w:w="1156"/>
        <w:gridCol w:w="1014"/>
        <w:gridCol w:w="1025"/>
        <w:gridCol w:w="649"/>
        <w:gridCol w:w="649"/>
        <w:gridCol w:w="652"/>
        <w:gridCol w:w="766"/>
        <w:gridCol w:w="766"/>
        <w:gridCol w:w="1092"/>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001-05560</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04-2302115</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(Commission File Number)</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5260 California Avenue</w:t>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92617</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tbl>
      <w:tblPr>
        <w:tblW w:w="4537" w:type="dxa"/>
        <w:jc w:val="center"/>
        <w:tblInd w:w="0" w:type="dxa"/>
        <w:tblLayout w:type="fixed"/>
        <w:tblCellMar>
          <w:top w:w="28" w:type="dxa"/>
          <w:left w:w="28" w:type="dxa"/>
          <w:bottom w:w="28" w:type="dxa"/>
          <w:right w:w="28" w:type="dxa"/>
        </w:tblCellMar>
      </w:tblPr>
      <w:tblGrid>
        <w:gridCol w:w="124"/>
        <w:gridCol w:w="109"/>
        <w:gridCol w:w="109"/>
        <w:gridCol w:w="476"/>
        <w:gridCol w:w="476"/>
        <w:gridCol w:w="481"/>
        <w:gridCol w:w="795"/>
        <w:gridCol w:w="795"/>
        <w:gridCol w:w="80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(949)</w:t>
            </w:r>
          </w:p>
        </w:tc>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231-3000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094" w:type="dxa"/>
        <w:jc w:val="center"/>
        <w:tblInd w:w="0" w:type="dxa"/>
        <w:tblLayout w:type="fixed"/>
        <w:tblCellMar>
          <w:top w:w="28" w:type="dxa"/>
          <w:left w:w="28" w:type="dxa"/>
          <w:bottom w:w="28" w:type="dxa"/>
          <w:right w:w="28" w:type="dxa"/>
        </w:tblCellMar>
      </w:tblPr>
      <w:tblGrid>
        <w:gridCol w:w="124"/>
        <w:gridCol w:w="109"/>
        <w:gridCol w:w="109"/>
        <w:gridCol w:w="1458"/>
        <w:gridCol w:w="1458"/>
        <w:gridCol w:w="14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3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100" w:after="100"/>
        <w:jc w:val="left"/>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4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$0.25 per share</w:t>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SWKS</w:t>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28, 2026, Skyworks Solutions, Inc. (“Skyworks”) issued a press release. The full text of the press release is attached hereto as Exhibit 99.1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Important Information About the Proposed Transaction and Where to Find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mergers (the “Mergers”) with Qorvo, Inc.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regulatory approvals,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jc w:val="left"/>
        <w:rPr/>
      </w:pPr>
      <w:r>
        <w:rPr/>
      </w:r>
    </w:p>
    <w:p>
      <w:pPr>
        <w:pStyle w:val="TextBody"/>
        <w:bidi w:val="0"/>
        <w:spacing w:lineRule="auto" w:line="55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417"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109"/>
        <w:gridCol w:w="109"/>
        <w:gridCol w:w="109"/>
        <w:gridCol w:w="2647"/>
        <w:gridCol w:w="2647"/>
        <w:gridCol w:w="37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8-klx1ex991.htm">
              <w:r>
                <w:rPr>
                  <w:rStyle w:val="InternetLink"/>
                  <w:rFonts w:ascii="Times New Roman;serif" w:hAnsi="Times New Roman;serif"/>
                  <w:b w:val="false"/>
                  <w:color w:val="0000FF"/>
                  <w:sz w:val="20"/>
                  <w:u w:val="single"/>
                </w:rPr>
                <w:t>Press Release, dated July 28,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103" w:type="dxa"/>
        <w:jc w:val="center"/>
        <w:tblInd w:w="0" w:type="dxa"/>
        <w:tblLayout w:type="fixed"/>
        <w:tblCellMar>
          <w:top w:w="28" w:type="dxa"/>
          <w:left w:w="28" w:type="dxa"/>
          <w:bottom w:w="28" w:type="dxa"/>
          <w:right w:w="28" w:type="dxa"/>
        </w:tblCellMar>
      </w:tblPr>
      <w:tblGrid>
        <w:gridCol w:w="443"/>
        <w:gridCol w:w="390"/>
        <w:gridCol w:w="396"/>
        <w:gridCol w:w="209"/>
        <w:gridCol w:w="209"/>
        <w:gridCol w:w="211"/>
        <w:gridCol w:w="1240"/>
        <w:gridCol w:w="1240"/>
        <w:gridCol w:w="176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July 28,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Philip Carter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w:t>
            </w:r>
          </w:p>
        </w:tc>
        <w:tc>
          <w:tcPr>
            <w:tcW w:w="4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Philip Carter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Title:</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left"/>
        <w:rPr/>
      </w:pPr>
      <w:r>
        <w:rPr/>
        <w:drawing>
          <wp:inline distT="0" distB="0" distL="0" distR="0">
            <wp:extent cx="1895475" cy="457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895475" cy="457200"/>
                    </a:xfrm>
                    <a:prstGeom prst="rect">
                      <a:avLst/>
                    </a:prstGeom>
                  </pic:spPr>
                </pic:pic>
              </a:graphicData>
            </a:graphic>
          </wp:inline>
        </w:drawing>
      </w:r>
    </w:p>
    <w:p>
      <w:pPr>
        <w:pStyle w:val="TextBody"/>
        <w:bidi w:val="0"/>
        <w:spacing w:before="0" w:after="0"/>
        <w:jc w:val="left"/>
        <w:rPr/>
      </w:pPr>
      <w:r>
        <w:rPr/>
      </w:r>
    </w:p>
    <w:tbl>
      <w:tblPr>
        <w:tblW w:w="6947" w:type="dxa"/>
        <w:jc w:val="left"/>
        <w:tblInd w:w="0" w:type="dxa"/>
        <w:tblLayout w:type="fixed"/>
        <w:tblCellMar>
          <w:top w:w="28" w:type="dxa"/>
          <w:left w:w="28" w:type="dxa"/>
          <w:bottom w:w="28" w:type="dxa"/>
          <w:right w:w="28" w:type="dxa"/>
        </w:tblCellMar>
      </w:tblPr>
      <w:tblGrid>
        <w:gridCol w:w="1485"/>
        <w:gridCol w:w="1305"/>
        <w:gridCol w:w="1306"/>
        <w:gridCol w:w="835"/>
        <w:gridCol w:w="835"/>
        <w:gridCol w:w="1181"/>
      </w:tblGrid>
      <w:tr>
        <w:trPr/>
        <w:tc>
          <w:tcPr>
            <w:tcW w:w="14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Relations: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Constance Griffiths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(949) 230-4867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Constance.Griffiths@skyworksinc.com    </w:t>
            </w:r>
          </w:p>
        </w:tc>
        <w:tc>
          <w:tcPr>
            <w:tcW w:w="28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Investor Relations:</w:t>
            </w:r>
          </w:p>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Raji Gill</w:t>
            </w:r>
          </w:p>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(949) 508-0973</w:t>
            </w:r>
          </w:p>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Raji.Gill@skyworksinc.com</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Skyworks and Qorvo Announce Expected Leadership Team for Combined Company</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Leadership appointments to take effect upon completion of previously announced transaction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IRVINE, Calif. and GREENSBORO, N.C., -- JULY 28, 2026</w:t>
      </w:r>
      <w:r>
        <w:rPr>
          <w:color w:val="000000"/>
        </w:rPr>
        <w:t xml:space="preserve"> — </w:t>
      </w:r>
      <w:r>
        <w:rPr>
          <w:rFonts w:ascii="Times New Roman;serif" w:hAnsi="Times New Roman;serif"/>
          <w:b w:val="false"/>
          <w:color w:val="000000"/>
          <w:sz w:val="24"/>
        </w:rPr>
        <w:t>Skyworks Solutions, Inc. (Nasdaq: SWKS) and Qorvo, Inc. (Nasdaq: QRVO) today announced the expected executive leadership team for the combined company, effective upon the successful completion of the pending transaction.</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4"/>
        </w:rPr>
        <w:t>Our expected leadership team unites deep industry expertise, proven operating experience and a shared commitment to helping customers solve their most complex challenges,” said Phil Brace, president and chief executive officer of Skyworks, who will serve as chief executive officer of the combined company. “Identifying this team is an important step in preparing us to move with clarity and conviction after close. This group will play a critical role in bringing together the strengths of both organizations, supporting a smooth transition and positioning our combined company to realize the tremendous opportunities ahead.”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following executives are expected to report to Mr. Brace as of the closing: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Philip Carter - Chief Financial Officer and Senior Vice President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Philip Chesley - Senior Vice President and President of High Performance Analog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Kari Durham - Senior Vice President, Human Resources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J.K. Givens - Senior Vice President and General Counsel, Secretary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Yusuf Jamal - Senior Vice President and General Manager of RF and Mixed-Signal Intelligence Solutions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Reza Kasnavi - Executive Vice President, Chief Operations and Technology Officer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Joel King - Senior Vice President and General Manager of Mobile Solutions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Todd Lepinski - Senior Vice President, Sales and Marketing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Frank Stewart - Senior Vice President and President of Advanced Cellular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Bob Bruggeworth, president and chief executive officer of Qorvo, who is expected to join the board of directors of the combined company post-close, added, “Today’s announcement reflects the strong partnership that has shaped our integration planning efforts from the very beginning. I am confident these leaders will help foster collaboration across our teams as we build on the engineering excellence, innovation, and customer focus that have long distinguished both organizations.”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Skyworks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Skyworks Solutions, Inc. is empowering the wireless networking revolution. We are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4"/>
        </w:rPr>
        <w:t xml:space="preserve">Skyworks is a global company with engineering, marketing, operations, sales and support facilities located throughout Asia, Europe and North America and is a member of the S&amp;P 500® market index (Nasdaq: SWKS). For more information, please visit Skyworks’ website at: </w:t>
      </w:r>
      <w:r>
        <w:rPr>
          <w:rFonts w:ascii="Times New Roman;serif" w:hAnsi="Times New Roman;serif"/>
          <w:b w:val="false"/>
          <w:color w:val="0000FF"/>
          <w:sz w:val="24"/>
        </w:rPr>
        <w:t>www.skyworksinc.com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About Qorvo</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Qorvo (Nasdaq: QRVO) supplies innovative semiconductor solutions that make a better world possible. We combine product and technology leadership, systems-level expertise and global manufacturing scale to quickly solve our customers’ most complex technical challenges. Qorvo serves diverse high-growth segments of large global markets, including automotive, consumer, defense &amp; aerospace, industrial &amp; enterprise, infrastructure and mobile. Visit </w:t>
      </w:r>
      <w:r>
        <w:rPr>
          <w:rFonts w:ascii="Times New Roman;serif" w:hAnsi="Times New Roman;serif"/>
          <w:b w:val="false"/>
          <w:color w:val="0000FF"/>
          <w:sz w:val="24"/>
        </w:rPr>
        <w:t>www.qorvo.com</w:t>
      </w:r>
      <w:r>
        <w:rPr>
          <w:color w:val="000000"/>
        </w:rPr>
        <w:t xml:space="preserve"> </w:t>
      </w:r>
      <w:r>
        <w:rPr>
          <w:rFonts w:ascii="Times New Roman;serif" w:hAnsi="Times New Roman;serif"/>
          <w:b w:val="false"/>
          <w:color w:val="000000"/>
          <w:sz w:val="24"/>
        </w:rPr>
        <w:t>to learn how our diverse and innovative team is helping connect, protect and power our planet.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Qorvo is a registered trademark of Qorvo, Inc. in the U.S. and in other countries. All other trademarks are the property of their respective owners.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Important Information About the Proposed Transaction and Where to Find It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connection with the mergers,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No Offer or Solicitation</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Cautionary Statement Regarding Forward-Looking Statements</w:t>
      </w:r>
    </w:p>
    <w:p>
      <w:pPr>
        <w:pStyle w:val="TextBody"/>
        <w:bidi w:val="0"/>
        <w:spacing w:before="0" w:after="0"/>
        <w:jc w:val="left"/>
        <w:rPr/>
      </w:pPr>
      <w:r>
        <w:rPr/>
      </w:r>
    </w:p>
    <w:p>
      <w:pPr>
        <w:pStyle w:val="TextBody"/>
        <w:bidi w:val="0"/>
        <w:spacing w:lineRule="auto" w:line="278"/>
        <w:jc w:val="left"/>
        <w:rPr>
          <w:rFonts w:ascii="Times New Roman;serif" w:hAnsi="Times New Roman;serif"/>
          <w:b w:val="false"/>
          <w:color w:val="000000"/>
          <w:sz w:val="24"/>
        </w:rPr>
      </w:pPr>
      <w:r>
        <w:rPr>
          <w:rFonts w:ascii="Times New Roman;serif" w:hAnsi="Times New Roman;serif"/>
          <w:b w:val="false"/>
          <w:color w:val="000000"/>
          <w:sz w:val="24"/>
        </w:rPr>
        <w:t xml:space="preserve">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expected date of closing of the proposed transaction and the potential benefits thereof,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 or to make or take any filing or other action required to consummate the transaction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including obtaining regulatory approvals, anticipated tax treatment, unforeseen liabilities, future capital expenditures, revenues, expenses, earnings, synergies, economic performance, indebtedness, financial condition, losses, future prospects, business and management strategies, expansion and growth of Skyworks’ and Qorvo’s businesses and other conditions to the completion of the proposed transaction; (ii) failure to realize the anticipated benefits of the proposed transaction, including as a result of delay in completing the transaction or integrating the businesses of Skyworks and Qorvo; (iii) Skyworks’ and Qorvo’s ability to implement their business strategies; (iv) pricing trends; (v) potential litigation relating to the proposed transaction that has been or could be instituted against Skyworks, Qorvo or their respective directors; (vi) the risk that disruptions from the proposed transaction will harm Skyworks’ or Qorvo’s business, including current plans and operations; (vii) the ability of Skyworks or Qorvo to retain and hire key personnel; (viii) potential adverse reactions or changes to business relationships resulting from the announcement, pendency or completion of the proposed transaction; (ix) uncertainty as to the long-term value of Skyworks’ common stock; (x) legislative, regulatory and economic developments affecting Skyworks’ and Qorvo’s businesses; (xi) general economic and market developments and conditions; (xii) the evolving legal, regulatory and tax regimes under which Skyworks and Qorvo operate; (xiii) potential business uncertainty, including changes to existing business relationships, during the pendency of the proposed transaction that could affect Skyworks’ or Qorvo’s financial performance; (xiv) restrictions during the pendency of the proposed transaction that may impact Skyworks’ or Qorvo’s ability to pursue certain business opportunities or strategic transactions; and (xv) unpredictability and severity of catastrophic events, including, but not limited to, acts of terrorism or outbreak of war or hostilities, as well as Skyworks’ and Qorvo’s response to any of the aforementioned factors. These risks, as well as other risks associated with the proposed transaction, are more fully discussed in the Joint Proxy Statement/Prospectus. While the list of factors presented here and in the Joint Proxy Statement/Prospectus are considered representative, no such list should be considered to be a complete statement of all potential risks and uncertainties. Unlisted factors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0" w:after="0"/>
        <w:jc w:val="left"/>
        <w:rPr>
          <w:rFonts w:ascii="Times New Roman;serif" w:hAnsi="Times New Roman;serif"/>
          <w:b w:val="false"/>
          <w:color w:val="000000"/>
          <w:sz w:val="24"/>
        </w:rPr>
      </w:pPr>
      <w:r>
        <w:rPr>
          <w:rFonts w:ascii="Times New Roman;serif" w:hAnsi="Times New Roman;serif"/>
          <w:b w:val="false"/>
          <w:color w:val="000000"/>
          <w:sz w:val="24"/>
        </w:rPr>
        <w:t>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Skyworks Contacts: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Constance Griffiths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(949) 230-4867</w:t>
      </w:r>
    </w:p>
    <w:p>
      <w:pPr>
        <w:pStyle w:val="TextBody"/>
        <w:bidi w:val="0"/>
        <w:spacing w:lineRule="auto" w:line="276" w:before="0" w:after="0"/>
        <w:jc w:val="left"/>
        <w:rPr>
          <w:rFonts w:ascii="Times New Roman;serif" w:hAnsi="Times New Roman;serif"/>
          <w:b w:val="false"/>
          <w:color w:val="467886"/>
          <w:sz w:val="24"/>
        </w:rPr>
      </w:pPr>
      <w:r>
        <w:rPr>
          <w:rFonts w:ascii="Times New Roman;serif" w:hAnsi="Times New Roman;serif"/>
          <w:b w:val="false"/>
          <w:color w:val="467886"/>
          <w:sz w:val="24"/>
        </w:rPr>
        <w:t>Constance.Griffiths@skyworksinc.com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Investor Relations: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Raji Gill</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(949) 508-0973</w:t>
      </w:r>
    </w:p>
    <w:p>
      <w:pPr>
        <w:pStyle w:val="TextBody"/>
        <w:bidi w:val="0"/>
        <w:spacing w:lineRule="auto" w:line="276" w:before="0" w:after="0"/>
        <w:jc w:val="left"/>
        <w:rPr>
          <w:rFonts w:ascii="Times New Roman;serif" w:hAnsi="Times New Roman;serif"/>
          <w:b w:val="false"/>
          <w:color w:val="467886"/>
          <w:sz w:val="24"/>
        </w:rPr>
      </w:pPr>
      <w:r>
        <w:rPr>
          <w:rFonts w:ascii="Times New Roman;serif" w:hAnsi="Times New Roman;serif"/>
          <w:b w:val="false"/>
          <w:color w:val="467886"/>
          <w:sz w:val="24"/>
        </w:rPr>
        <w:t>Raji.Gill@skyworksinc.com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Qorvo Contacts: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Media Contacts: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Amy Corman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Strategic Marketing Manager for Qorvo HPA Products </w:t>
      </w:r>
    </w:p>
    <w:p>
      <w:pPr>
        <w:pStyle w:val="TextBody"/>
        <w:bidi w:val="0"/>
        <w:spacing w:lineRule="auto" w:line="276" w:before="0" w:after="0"/>
        <w:jc w:val="left"/>
        <w:rPr>
          <w:rFonts w:ascii="Times New Roman;serif" w:hAnsi="Times New Roman;serif"/>
          <w:b w:val="false"/>
          <w:color w:val="467886"/>
          <w:sz w:val="24"/>
        </w:rPr>
      </w:pPr>
      <w:r>
        <w:rPr>
          <w:rFonts w:ascii="Times New Roman;serif" w:hAnsi="Times New Roman;serif"/>
          <w:b w:val="false"/>
          <w:color w:val="467886"/>
          <w:sz w:val="24"/>
        </w:rPr>
        <w:t>amy.corman@qorvo.com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Brent Dietz</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Director of Corporate Communications</w:t>
      </w:r>
    </w:p>
    <w:p>
      <w:pPr>
        <w:pStyle w:val="TextBody"/>
        <w:bidi w:val="0"/>
        <w:spacing w:lineRule="auto" w:line="276" w:before="0" w:after="0"/>
        <w:jc w:val="left"/>
        <w:rPr>
          <w:rFonts w:ascii="Times New Roman;serif" w:hAnsi="Times New Roman;serif"/>
          <w:b w:val="false"/>
          <w:color w:val="467886"/>
          <w:sz w:val="24"/>
        </w:rPr>
      </w:pPr>
      <w:r>
        <w:rPr>
          <w:rFonts w:ascii="Times New Roman;serif" w:hAnsi="Times New Roman;serif"/>
          <w:b w:val="false"/>
          <w:color w:val="467886"/>
          <w:sz w:val="24"/>
        </w:rPr>
        <w:t>brent.dietz@qorvo.com</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+1-336-338-2711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Investor Relations: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Doug DeLieto</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VP, Investor Relations</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+1 336-678-7968</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3452</Words>
  <Characters>20698</Characters>
  <CharactersWithSpaces>24057</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