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tm2626714d1_425.htm"/>
      <w:bookmarkStart w:id="1" w:name="kstm2626714d1_425"/>
      <w:bookmarkEnd w:id="0"/>
      <w:bookmarkEnd w:id="1"/>
      <w:r>
        <w:rPr/>
        <w:t>FILED BY SKYWORKS SOLUTIONS, INC.</w:t>
      </w:r>
    </w:p>
    <w:p>
      <w:pPr>
        <w:pStyle w:val="TextBody"/>
        <w:bidi w:val="0"/>
        <w:jc w:val="right"/>
        <w:rPr/>
      </w:pPr>
      <w:r>
        <w:rPr/>
        <w:t>PURSUANT TO RULE 425 UNDER THE SECURITIES ACT OF 1933</w:t>
      </w:r>
    </w:p>
    <w:p>
      <w:pPr>
        <w:pStyle w:val="TextBody"/>
        <w:bidi w:val="0"/>
        <w:jc w:val="right"/>
        <w:rPr/>
      </w:pPr>
      <w:r>
        <w:rPr/>
        <w:t>AND DEEMED FILED PURSUANT TO RULE 14a-12 AND RULE 14d-2(b)</w:t>
      </w:r>
    </w:p>
    <w:p>
      <w:pPr>
        <w:pStyle w:val="TextBody"/>
        <w:bidi w:val="0"/>
        <w:jc w:val="right"/>
        <w:rPr/>
      </w:pPr>
      <w:r>
        <w:rPr/>
        <w:t>UNDER THE SECURITIES EXCHANGE ACT OF 1934</w:t>
      </w:r>
    </w:p>
    <w:p>
      <w:pPr>
        <w:pStyle w:val="TextBody"/>
        <w:bidi w:val="0"/>
        <w:jc w:val="right"/>
        <w:rPr/>
      </w:pPr>
      <w:r>
        <w:rPr/>
        <w:t>SUBJECT COMPANY: QORVO, INC.</w:t>
      </w:r>
    </w:p>
    <w:p>
      <w:pPr>
        <w:pStyle w:val="TextBody"/>
        <w:bidi w:val="0"/>
        <w:jc w:val="right"/>
        <w:rPr/>
      </w:pPr>
      <w:r>
        <w:rPr/>
        <w:t>COMMISSION FILE NO. 333-291947</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3770"/>
        <w:gridCol w:w="2735"/>
      </w:tblGrid>
      <w:tr>
        <w:trPr/>
        <w:tc>
          <w:tcPr>
            <w:tcW w:w="3770" w:type="dxa"/>
            <w:tcBorders/>
            <w:vAlign w:val="center"/>
          </w:tcPr>
          <w:p>
            <w:pPr>
              <w:pStyle w:val="TableContents"/>
              <w:bidi w:val="0"/>
              <w:spacing w:before="0" w:after="283"/>
              <w:jc w:val="left"/>
              <w:rPr/>
            </w:pPr>
            <w:r>
              <w:rPr>
                <w:b/>
              </w:rPr>
              <w:t>Media Relations:</w:t>
            </w:r>
            <w:r>
              <w:rPr/>
              <w:t xml:space="preserve"> </w:t>
              <w:br/>
              <w:t>Constance Griffiths</w:t>
              <w:br/>
              <w:t xml:space="preserve">(949) 230-4867 </w:t>
              <w:br/>
              <w:t>Constance.Griffiths@skyworksinc.com</w:t>
            </w:r>
          </w:p>
        </w:tc>
        <w:tc>
          <w:tcPr>
            <w:tcW w:w="2735" w:type="dxa"/>
            <w:tcBorders/>
            <w:vAlign w:val="center"/>
          </w:tcPr>
          <w:p>
            <w:pPr>
              <w:pStyle w:val="TableContents"/>
              <w:bidi w:val="0"/>
              <w:spacing w:before="0" w:after="283"/>
              <w:jc w:val="right"/>
              <w:rPr/>
            </w:pPr>
            <w:r>
              <w:rPr>
                <w:b/>
              </w:rPr>
              <w:t>Investor Relations:</w:t>
            </w:r>
            <w:r>
              <w:rPr/>
              <w:t xml:space="preserve"> </w:t>
              <w:br/>
              <w:t xml:space="preserve">Raji Gill </w:t>
              <w:br/>
              <w:t>(949) 508-0973</w:t>
              <w:br/>
              <w:t>Raji.Gill@skyworksinc.com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Skyworks Announces Extension of Expiration Date of Exchange Offers for Qorvo’s Senior Notes due 2029 and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September 30, 2026 – Skyworks Solutions, Inc. (Nasdaq: SWKS) (“Skyworks”), a leading developer, manufacturer and provider of analog and mixed-signal semiconductors and solutions for numerous applications, today announced that it has extended the expiration date of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 of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Date of the Exchange Offers and the Withdrawal Deadline were previously extended to 5:00 p.m., New York City time, on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has further extended the Expiration Date and the Withdrawal Deadline to 5:00 p.m., New York City time, on October 5, 2026, subject to further extension or earlier termination or other amendment. Skyworks expects that the Mergers (as defined herein) will close on or about October 5, 2026 (subject to satisfaction or waiver of all closing conditions). All other terms and conditions of the Exchange Offers as set forth in the Prospectus (as defined herein) remain in full force and effect. Capitalized terms used but not defined herein have the respective meanings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Bondholder Services Corporation, the information agent for the Exchange Offers, has advised Skyworks that as of 5:00 p.m., New York City time, on September 30, 2026, the last business day prior to the announcement of the further extension of the Exchange Offers, the following respective principal amounts of each series of Qorvo Notes have been validly tendered and not validly withdrawn:</w:t>
      </w:r>
    </w:p>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28" w:type="dxa"/>
          <w:left w:w="0" w:type="dxa"/>
          <w:bottom w:w="28" w:type="dxa"/>
          <w:right w:w="0" w:type="dxa"/>
        </w:tblCellMar>
      </w:tblPr>
      <w:tblGrid>
        <w:gridCol w:w="3125"/>
        <w:gridCol w:w="1910"/>
        <w:gridCol w:w="1850"/>
        <w:gridCol w:w="1160"/>
      </w:tblGrid>
      <w:tr>
        <w:trPr/>
        <w:tc>
          <w:tcPr>
            <w:tcW w:w="3125" w:type="dxa"/>
            <w:tcBorders>
              <w:top w:val="single" w:sz="8" w:space="0" w:color="000000"/>
              <w:bottom w:val="single" w:sz="8" w:space="0" w:color="000000"/>
            </w:tcBorders>
            <w:vAlign w:val="center"/>
          </w:tcPr>
          <w:p>
            <w:pPr>
              <w:pStyle w:val="TableContents"/>
              <w:bidi w:val="0"/>
              <w:spacing w:before="0" w:after="283"/>
              <w:jc w:val="center"/>
              <w:rPr/>
            </w:pPr>
            <w:r>
              <w:rPr>
                <w:b/>
              </w:rPr>
              <w:t>Title of Qorvo Notes /</w:t>
            </w:r>
            <w:r>
              <w:rPr/>
              <w:t xml:space="preserve"> </w:t>
            </w:r>
            <w:r>
              <w:rPr>
                <w:b/>
              </w:rPr>
              <w:br/>
              <w:t>CUSIP / ISIN No.</w:t>
            </w:r>
          </w:p>
        </w:tc>
        <w:tc>
          <w:tcPr>
            <w:tcW w:w="1910" w:type="dxa"/>
            <w:tcBorders>
              <w:top w:val="single" w:sz="8" w:space="0" w:color="000000"/>
              <w:bottom w:val="single" w:sz="8" w:space="0" w:color="000000"/>
            </w:tcBorders>
            <w:vAlign w:val="center"/>
          </w:tcPr>
          <w:p>
            <w:pPr>
              <w:pStyle w:val="TableContents"/>
              <w:bidi w:val="0"/>
              <w:spacing w:before="0" w:after="283"/>
              <w:jc w:val="center"/>
              <w:rPr>
                <w:b/>
              </w:rPr>
            </w:pPr>
            <w:r>
              <w:rPr>
                <w:b/>
              </w:rPr>
              <w:t xml:space="preserve">Principal Amount </w:t>
              <w:br/>
              <w:t>Outstanding</w:t>
            </w:r>
          </w:p>
        </w:tc>
        <w:tc>
          <w:tcPr>
            <w:tcW w:w="1850" w:type="dxa"/>
            <w:tcBorders>
              <w:top w:val="single" w:sz="8" w:space="0" w:color="000000"/>
              <w:bottom w:val="single" w:sz="8" w:space="0" w:color="000000"/>
            </w:tcBorders>
            <w:vAlign w:val="center"/>
          </w:tcPr>
          <w:p>
            <w:pPr>
              <w:pStyle w:val="TableContents"/>
              <w:bidi w:val="0"/>
              <w:spacing w:before="0" w:after="283"/>
              <w:jc w:val="center"/>
              <w:rPr>
                <w:b/>
              </w:rPr>
            </w:pPr>
            <w:r>
              <w:rPr>
                <w:b/>
              </w:rPr>
              <w:t>Principal Amount</w:t>
              <w:br/>
              <w:t>Tendered</w:t>
            </w:r>
          </w:p>
        </w:tc>
        <w:tc>
          <w:tcPr>
            <w:tcW w:w="1160" w:type="dxa"/>
            <w:tcBorders>
              <w:top w:val="single" w:sz="8" w:space="0" w:color="000000"/>
              <w:bottom w:val="single" w:sz="8" w:space="0" w:color="000000"/>
            </w:tcBorders>
            <w:vAlign w:val="center"/>
          </w:tcPr>
          <w:p>
            <w:pPr>
              <w:pStyle w:val="TableContents"/>
              <w:bidi w:val="0"/>
              <w:spacing w:before="0" w:after="283"/>
              <w:jc w:val="center"/>
              <w:rPr>
                <w:b/>
              </w:rPr>
            </w:pPr>
            <w:r>
              <w:rPr>
                <w:b/>
              </w:rPr>
              <w:t>Percentage</w:t>
            </w:r>
          </w:p>
        </w:tc>
      </w:tr>
      <w:tr>
        <w:trPr/>
        <w:tc>
          <w:tcPr>
            <w:tcW w:w="3125" w:type="dxa"/>
            <w:tcBorders/>
            <w:tcMar>
              <w:top w:w="0" w:type="dxa"/>
              <w:bottom w:w="0" w:type="dxa"/>
            </w:tcMar>
            <w:vAlign w:val="center"/>
          </w:tcPr>
          <w:p>
            <w:pPr>
              <w:pStyle w:val="TableContents"/>
              <w:bidi w:val="0"/>
              <w:spacing w:before="0" w:after="283"/>
              <w:jc w:val="left"/>
              <w:rPr/>
            </w:pPr>
            <w:r>
              <w:rPr/>
              <w:t xml:space="preserve">4.375% Senior Notes due 2029 </w:t>
              <w:br/>
              <w:br/>
              <w:t>Registered:  </w:t>
              <w:br/>
              <w:br/>
              <w:t>74736KAH4 /</w:t>
              <w:br/>
              <w:t>US74736KAH41  </w:t>
              <w:br/>
              <w:br/>
              <w:t xml:space="preserve">144A: </w:t>
              <w:br/>
              <w:t>74736KAG6 /</w:t>
              <w:br/>
              <w:t>US74736KAG67  </w:t>
              <w:br/>
              <w:br/>
              <w:t xml:space="preserve">Regulation S: </w:t>
              <w:br/>
              <w:t>U7471QAF1 /</w:t>
              <w:br/>
              <w:t>USU7471QAF10</w:t>
            </w:r>
          </w:p>
        </w:tc>
        <w:tc>
          <w:tcPr>
            <w:tcW w:w="191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$850,000,000</w:t>
            </w:r>
          </w:p>
        </w:tc>
        <w:tc>
          <w:tcPr>
            <w:tcW w:w="185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$779,250,000</w:t>
            </w:r>
          </w:p>
        </w:tc>
        <w:tc>
          <w:tcPr>
            <w:tcW w:w="116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91.68%</w:t>
            </w:r>
          </w:p>
        </w:tc>
      </w:tr>
      <w:tr>
        <w:trPr/>
        <w:tc>
          <w:tcPr>
            <w:tcW w:w="3125" w:type="dxa"/>
            <w:tcBorders/>
            <w:tcMar>
              <w:top w:w="0" w:type="dxa"/>
              <w:bottom w:w="0" w:type="dxa"/>
            </w:tcMar>
            <w:vAlign w:val="center"/>
          </w:tcPr>
          <w:p>
            <w:pPr>
              <w:pStyle w:val="TableContents"/>
              <w:bidi w:val="0"/>
              <w:spacing w:before="0" w:after="283"/>
              <w:jc w:val="left"/>
              <w:rPr/>
            </w:pPr>
            <w:r>
              <w:rPr/>
              <w:t>3.375% Senior Notes due 2031  </w:t>
              <w:br/>
              <w:br/>
              <w:t xml:space="preserve">144A: </w:t>
              <w:br/>
              <w:t xml:space="preserve">74736KAJ0 / </w:t>
              <w:br/>
              <w:t xml:space="preserve">US74736KAJ07 </w:t>
              <w:br/>
              <w:br/>
              <w:t xml:space="preserve">Regulation S: </w:t>
              <w:br/>
              <w:t xml:space="preserve">U7471QAJ3 / </w:t>
              <w:br/>
              <w:t>USU7471QAJ32</w:t>
            </w:r>
          </w:p>
        </w:tc>
        <w:tc>
          <w:tcPr>
            <w:tcW w:w="191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$700,000,000</w:t>
            </w:r>
          </w:p>
        </w:tc>
        <w:tc>
          <w:tcPr>
            <w:tcW w:w="185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$653,328,000</w:t>
            </w:r>
          </w:p>
        </w:tc>
        <w:tc>
          <w:tcPr>
            <w:tcW w:w="116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Qorvo Notes who have already validly tendered and not validly withdrawn their Qorvo Notes do not need to re-tender their notes or take any other action as a result of the extension of the Expiration Date, and their tenders remain effective. Holders of Qorvo Notes who have not yet validly tendered, or who validly tendered and validly withdrew, may tender or re-tender, as applicable, their Qorvo Notes at any time at or prior to the Expiration Date and will be eligible to receive the applicable consideration as described in the Prospectus, subject to the terms and conditions set forth in the Prospectus, including, subject to submitting a valid Early Participation VOI Number with respect to such tendered or re-tendered Qorvo Notes, the Early Participation Premium with respect to such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Prospectus, the settlement date (the “Settlement Date”) will be promptly after the Expiration Date and is expected to occur no earlier than the second business day after the closing date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Capitalized terms used but not defined herein have the meanings ascribed to such terms in the Prospectus. Each Exchange Offer is conditioned upon the closing of the transactions pursuant to which Qorvo will merge with and into a subsidiary of Skyworks (the “Mergers”), with such subsidiary continuing as the surviving entity and a wholly-owned subsidiary of Skyworks, which condition may not be waived by Skyworks. The closing of the Mergers is not conditioned upon the results of the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with respect to a series of Qorvo Notes is not conditioned upon the consummation of the Exchange Offer with respect to the other series of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are described in the Prospectus, a copy of which may be obtained by contacting Global Bondholder Services Corporation, the exchange agent and information agent in connection with the Exchange Offers, at (855) 654-2015 (U.S. toll-free) or (212) 430-3774 (banks and brokers) or contact@gbsc-usa.com. Questions regarding the terms and conditions of the Exchange Offers should be directed to the dealer manager, Goldman Sachs &amp; Co. LLC, 200 West Street, New York, New York 10282, Collect: (212) 357-1452, Toll-Free: (800) 828-3182.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purchase, or a solicitation of an offer to purchase or sell, any security. No offer, solicitation, purchase or sale will be made in any jurisdiction in which such an offer, solicitation, or sale would be unlawful. The Exchange Offers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not being timely completed, if completed at all;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free copies of the Mergers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2450</Words>
  <Characters>14376</Characters>
  <CharactersWithSpaces>16843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